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74168ED"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B6002" w:rsidRPr="007B6002">
        <w:rPr>
          <w:rFonts w:ascii="Arial" w:eastAsia="Times New Roman" w:hAnsi="Arial" w:cs="Arial"/>
          <w:iCs/>
          <w:sz w:val="20"/>
          <w:szCs w:val="20"/>
          <w:lang w:eastAsia="ar-SA"/>
        </w:rPr>
        <w:t>FEMP.02.</w:t>
      </w:r>
      <w:r w:rsidR="00A319C9">
        <w:rPr>
          <w:rFonts w:ascii="Arial" w:eastAsia="Times New Roman" w:hAnsi="Arial" w:cs="Arial"/>
          <w:iCs/>
          <w:sz w:val="20"/>
          <w:szCs w:val="20"/>
          <w:lang w:eastAsia="ar-SA"/>
        </w:rPr>
        <w:t>21-IZ.00</w:t>
      </w:r>
      <w:r w:rsidR="007C522C">
        <w:rPr>
          <w:rFonts w:ascii="Arial" w:eastAsia="Times New Roman" w:hAnsi="Arial" w:cs="Arial"/>
          <w:iCs/>
          <w:sz w:val="20"/>
          <w:szCs w:val="20"/>
          <w:lang w:eastAsia="ar-SA"/>
        </w:rPr>
        <w:t>-092</w:t>
      </w:r>
      <w:r w:rsidR="007C522C" w:rsidRPr="007B6002">
        <w:rPr>
          <w:rFonts w:ascii="Arial" w:eastAsia="Times New Roman" w:hAnsi="Arial" w:cs="Arial"/>
          <w:iCs/>
          <w:sz w:val="20"/>
          <w:szCs w:val="20"/>
          <w:lang w:eastAsia="ar-SA"/>
        </w:rPr>
        <w:t>/</w:t>
      </w:r>
      <w:r w:rsidR="007B6002" w:rsidRPr="007B6002">
        <w:rPr>
          <w:rFonts w:ascii="Arial" w:eastAsia="Times New Roman" w:hAnsi="Arial" w:cs="Arial"/>
          <w:iCs/>
          <w:sz w:val="20"/>
          <w:szCs w:val="20"/>
          <w:lang w:eastAsia="ar-SA"/>
        </w:rPr>
        <w:t>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247ACC" w:rsidRDefault="005B6E73" w:rsidP="00247ACC">
      <w:pPr>
        <w:pStyle w:val="Nagwek2"/>
      </w:pPr>
      <w:r w:rsidRPr="00247ACC">
        <w:t>Informacje ogólne o naborze wniosków</w:t>
      </w:r>
    </w:p>
    <w:p w14:paraId="43EC660B" w14:textId="77777777" w:rsidR="005B6E73" w:rsidRDefault="005B6E73">
      <w:pPr>
        <w:rPr>
          <w:rFonts w:ascii="Arial" w:eastAsia="Times New Roman" w:hAnsi="Arial" w:cs="Arial"/>
          <w:b/>
          <w:sz w:val="24"/>
          <w:szCs w:val="24"/>
          <w:lang w:eastAsia="ar-SA"/>
        </w:rPr>
      </w:pPr>
    </w:p>
    <w:p w14:paraId="3BAD9D89" w14:textId="77777777" w:rsidR="008A0C3A" w:rsidRPr="008A0C3A" w:rsidRDefault="008A0C3A" w:rsidP="008A0C3A">
      <w:pPr>
        <w:spacing w:after="120" w:line="276" w:lineRule="auto"/>
        <w:rPr>
          <w:rFonts w:ascii="Arial" w:eastAsia="Times New Roman" w:hAnsi="Arial" w:cs="Arial"/>
          <w:sz w:val="24"/>
          <w:szCs w:val="24"/>
          <w:lang w:eastAsia="ar-SA"/>
        </w:rPr>
      </w:pPr>
      <w:r w:rsidRPr="008A0C3A">
        <w:rPr>
          <w:rFonts w:ascii="Arial" w:eastAsia="Times New Roman" w:hAnsi="Arial" w:cs="Arial"/>
          <w:sz w:val="24"/>
          <w:szCs w:val="24"/>
          <w:lang w:eastAsia="ar-SA"/>
        </w:rPr>
        <w:t>Nabór wniosków dotyczy projektów wybieranych w sposób niekonkurencyjny, ocenianych w Instytucji Zarządzającej.</w:t>
      </w:r>
    </w:p>
    <w:p w14:paraId="0E816A3D" w14:textId="77777777" w:rsidR="008A0C3A" w:rsidRPr="008A0C3A" w:rsidRDefault="008A0C3A" w:rsidP="008A0C3A">
      <w:pPr>
        <w:spacing w:after="120" w:line="276" w:lineRule="auto"/>
        <w:rPr>
          <w:rFonts w:ascii="Arial" w:eastAsia="Times New Roman" w:hAnsi="Arial" w:cs="Arial"/>
          <w:sz w:val="24"/>
          <w:szCs w:val="24"/>
          <w:lang w:eastAsia="ar-SA"/>
        </w:rPr>
      </w:pPr>
      <w:r w:rsidRPr="008A0C3A">
        <w:rPr>
          <w:rFonts w:ascii="Arial" w:eastAsia="Times New Roman" w:hAnsi="Arial" w:cs="Arial"/>
          <w:sz w:val="24"/>
          <w:szCs w:val="24"/>
          <w:lang w:eastAsia="ar-SA"/>
        </w:rPr>
        <w:t xml:space="preserve">Nabór wniosków dotyczy Priorytetu 2 </w:t>
      </w:r>
      <w:r w:rsidRPr="008A0C3A">
        <w:rPr>
          <w:rFonts w:ascii="Arial" w:eastAsia="Times New Roman" w:hAnsi="Arial" w:cs="Arial"/>
          <w:i/>
          <w:sz w:val="24"/>
          <w:szCs w:val="24"/>
          <w:lang w:eastAsia="ar-SA"/>
        </w:rPr>
        <w:t>Fundusze europejskie dla środowiska</w:t>
      </w:r>
      <w:r w:rsidRPr="008A0C3A">
        <w:rPr>
          <w:rFonts w:ascii="Arial" w:eastAsia="Times New Roman" w:hAnsi="Arial" w:cs="Arial"/>
          <w:sz w:val="24"/>
          <w:szCs w:val="24"/>
          <w:lang w:eastAsia="ar-SA"/>
        </w:rPr>
        <w:t xml:space="preserve">, Działania 2.21 </w:t>
      </w:r>
      <w:r w:rsidRPr="008A0C3A">
        <w:rPr>
          <w:rFonts w:ascii="Arial" w:eastAsia="Times New Roman" w:hAnsi="Arial" w:cs="Arial"/>
          <w:i/>
          <w:sz w:val="24"/>
          <w:szCs w:val="24"/>
          <w:lang w:eastAsia="ar-SA"/>
        </w:rPr>
        <w:t>Wsparcie rozwoju OZE - ZIT - dotacja</w:t>
      </w:r>
      <w:r w:rsidRPr="008A0C3A">
        <w:rPr>
          <w:rFonts w:ascii="Arial" w:eastAsia="Times New Roman" w:hAnsi="Arial" w:cs="Arial"/>
          <w:sz w:val="24"/>
          <w:szCs w:val="24"/>
          <w:lang w:eastAsia="ar-SA"/>
        </w:rPr>
        <w:t xml:space="preserve">, typu projektu A </w:t>
      </w:r>
      <w:r w:rsidRPr="008A0C3A">
        <w:rPr>
          <w:rFonts w:ascii="Arial" w:eastAsia="Times New Roman" w:hAnsi="Arial" w:cs="Arial"/>
          <w:i/>
          <w:sz w:val="24"/>
          <w:szCs w:val="24"/>
          <w:lang w:eastAsia="ar-SA"/>
        </w:rPr>
        <w:t>Magazyny energii</w:t>
      </w:r>
      <w:r w:rsidRPr="008A0C3A">
        <w:rPr>
          <w:rFonts w:ascii="Arial" w:eastAsia="Times New Roman" w:hAnsi="Arial" w:cs="Arial"/>
          <w:sz w:val="24"/>
          <w:szCs w:val="24"/>
          <w:lang w:eastAsia="ar-SA"/>
        </w:rPr>
        <w:t>, w ramach programu Fundusze Europejskie dla Małopolski 2021–2027.</w:t>
      </w:r>
    </w:p>
    <w:p w14:paraId="0A78188E" w14:textId="724B3EBA"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W ramach działania wspierana będzie interwencja związana z wykorzystaniem instrumentu terytorialnego ZIT</w:t>
      </w:r>
      <w:r w:rsidR="00570F19">
        <w:rPr>
          <w:rFonts w:ascii="Arial" w:eastAsia="Times New Roman" w:hAnsi="Arial" w:cs="Arial"/>
          <w:b/>
          <w:sz w:val="24"/>
          <w:szCs w:val="24"/>
          <w:lang w:eastAsia="ar-SA"/>
        </w:rPr>
        <w:t xml:space="preserve"> (</w:t>
      </w:r>
      <w:r w:rsidR="00570F19" w:rsidRPr="00570F19">
        <w:rPr>
          <w:rFonts w:ascii="Arial" w:eastAsia="Times New Roman" w:hAnsi="Arial" w:cs="Arial"/>
          <w:b/>
          <w:sz w:val="24"/>
          <w:szCs w:val="24"/>
          <w:lang w:eastAsia="ar-SA"/>
        </w:rPr>
        <w:t>tj. Zintegrowane Inwestycje Terytorialne</w:t>
      </w:r>
      <w:r w:rsidR="00570F19">
        <w:rPr>
          <w:rFonts w:ascii="Arial" w:eastAsia="Times New Roman" w:hAnsi="Arial" w:cs="Arial"/>
          <w:b/>
          <w:sz w:val="24"/>
          <w:szCs w:val="24"/>
          <w:lang w:eastAsia="ar-SA"/>
        </w:rPr>
        <w:t>)</w:t>
      </w:r>
      <w:r w:rsidRPr="00B171F1">
        <w:rPr>
          <w:rFonts w:ascii="Arial" w:eastAsia="Times New Roman" w:hAnsi="Arial" w:cs="Arial"/>
          <w:b/>
          <w:sz w:val="24"/>
          <w:szCs w:val="24"/>
          <w:lang w:eastAsia="ar-SA"/>
        </w:rPr>
        <w:t xml:space="preserve">.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6F9489D5" w14:textId="3107981A" w:rsidR="00B212D4" w:rsidRPr="00B171F1"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BC3877" w:rsidRDefault="00674AD3" w:rsidP="00BC3877">
      <w:pPr>
        <w:pStyle w:val="Nagwek3"/>
      </w:pPr>
      <w:r w:rsidRPr="00BC3877">
        <w:t>Wnioskodawca</w:t>
      </w:r>
    </w:p>
    <w:p w14:paraId="7BC05D87" w14:textId="77777777" w:rsidR="008A0C3A" w:rsidRPr="00010422" w:rsidRDefault="008A0C3A" w:rsidP="008A0C3A">
      <w:pPr>
        <w:rPr>
          <w:rFonts w:ascii="Arial" w:eastAsia="Times New Roman" w:hAnsi="Arial" w:cs="Arial"/>
          <w:sz w:val="24"/>
          <w:szCs w:val="24"/>
          <w:lang w:eastAsia="ar-SA"/>
        </w:rPr>
      </w:pPr>
      <w:r w:rsidRPr="00010422">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1DD0F8DC" w14:textId="77777777" w:rsidR="008A0C3A" w:rsidRPr="00310704" w:rsidRDefault="008A0C3A" w:rsidP="008A0C3A">
      <w:pPr>
        <w:numPr>
          <w:ilvl w:val="0"/>
          <w:numId w:val="29"/>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Instytucje kultury, </w:t>
      </w:r>
    </w:p>
    <w:p w14:paraId="74E7CA4A" w14:textId="77777777" w:rsidR="008A0C3A" w:rsidRPr="00310704" w:rsidRDefault="008A0C3A" w:rsidP="008A0C3A">
      <w:pPr>
        <w:numPr>
          <w:ilvl w:val="0"/>
          <w:numId w:val="29"/>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organizacyjne działające w imieniu jednostek samorządu terytorialnego, </w:t>
      </w:r>
    </w:p>
    <w:p w14:paraId="7B4865D3" w14:textId="77777777" w:rsidR="008A0C3A" w:rsidRPr="00310704" w:rsidRDefault="008A0C3A" w:rsidP="008A0C3A">
      <w:pPr>
        <w:numPr>
          <w:ilvl w:val="0"/>
          <w:numId w:val="29"/>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Samorządu Terytorialnego, </w:t>
      </w:r>
    </w:p>
    <w:p w14:paraId="2377540D" w14:textId="77777777" w:rsidR="008A0C3A" w:rsidRPr="00310704" w:rsidRDefault="008A0C3A" w:rsidP="008A0C3A">
      <w:pPr>
        <w:numPr>
          <w:ilvl w:val="0"/>
          <w:numId w:val="29"/>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Organizacje pozarządowe, </w:t>
      </w:r>
    </w:p>
    <w:p w14:paraId="006CB6D9" w14:textId="7D7A19D7" w:rsidR="0088127D" w:rsidRPr="008A0C3A" w:rsidRDefault="008A0C3A" w:rsidP="008A0C3A">
      <w:pPr>
        <w:numPr>
          <w:ilvl w:val="0"/>
          <w:numId w:val="29"/>
        </w:numPr>
        <w:rPr>
          <w:rFonts w:ascii="Arial" w:eastAsia="Times New Roman" w:hAnsi="Arial" w:cs="Arial"/>
          <w:sz w:val="24"/>
          <w:szCs w:val="24"/>
          <w:lang w:eastAsia="ar-SA"/>
        </w:rPr>
      </w:pPr>
      <w:r w:rsidRPr="00310704">
        <w:rPr>
          <w:rFonts w:ascii="Arial" w:eastAsia="Times New Roman" w:hAnsi="Arial" w:cs="Arial"/>
          <w:sz w:val="24"/>
          <w:szCs w:val="24"/>
          <w:lang w:eastAsia="ar-SA"/>
        </w:rPr>
        <w:t>Podmioty świadczące usługi publiczne w ramach realizacji obowiązków własnych jednostek samorządu terytorialnego.</w:t>
      </w:r>
    </w:p>
    <w:p w14:paraId="5FE9EF59" w14:textId="4DF6E713" w:rsidR="00FC2960" w:rsidRDefault="00B171F1" w:rsidP="005C4058">
      <w:pPr>
        <w:pStyle w:val="Akapitzlist"/>
        <w:spacing w:after="120" w:line="276" w:lineRule="auto"/>
        <w:ind w:left="0"/>
        <w:contextualSpacing w:val="0"/>
        <w:rPr>
          <w:rFonts w:ascii="Arial" w:eastAsia="Times New Roman" w:hAnsi="Arial" w:cs="Arial"/>
          <w:b/>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40B9175" w14:textId="77777777" w:rsidR="00FC2960" w:rsidRDefault="00FC2960">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BC3877">
      <w:pPr>
        <w:pStyle w:val="Nagwek3"/>
      </w:pPr>
      <w:r>
        <w:lastRenderedPageBreak/>
        <w:t>Termin naboru</w:t>
      </w:r>
    </w:p>
    <w:p w14:paraId="4D3A1AF2" w14:textId="5968962F" w:rsidR="003A6E1D" w:rsidRDefault="00AC4B1F">
      <w:pPr>
        <w:rPr>
          <w:rFonts w:ascii="Arial" w:eastAsia="Times New Roman" w:hAnsi="Arial" w:cs="Arial"/>
          <w:sz w:val="24"/>
          <w:szCs w:val="24"/>
          <w:lang w:eastAsia="ar-SA"/>
        </w:rPr>
      </w:pPr>
      <w:r>
        <w:rPr>
          <w:rFonts w:ascii="Arial" w:eastAsia="Times New Roman" w:hAnsi="Arial" w:cs="Arial"/>
          <w:sz w:val="24"/>
          <w:szCs w:val="24"/>
          <w:lang w:eastAsia="ar-SA"/>
        </w:rPr>
        <w:t>10.09</w:t>
      </w:r>
      <w:r w:rsidR="0055081F">
        <w:rPr>
          <w:rFonts w:ascii="Arial" w:eastAsia="Times New Roman" w:hAnsi="Arial" w:cs="Arial"/>
          <w:sz w:val="24"/>
          <w:szCs w:val="24"/>
          <w:lang w:eastAsia="ar-SA"/>
        </w:rPr>
        <w:t>.2025</w:t>
      </w:r>
      <w:r w:rsidR="00B61692" w:rsidRPr="00B61692">
        <w:rPr>
          <w:rFonts w:ascii="Arial" w:eastAsia="Times New Roman" w:hAnsi="Arial" w:cs="Arial"/>
          <w:sz w:val="24"/>
          <w:szCs w:val="24"/>
          <w:lang w:eastAsia="ar-SA"/>
        </w:rPr>
        <w:t xml:space="preserve"> r. – </w:t>
      </w:r>
      <w:r>
        <w:rPr>
          <w:rFonts w:ascii="Arial" w:eastAsia="Times New Roman" w:hAnsi="Arial" w:cs="Arial"/>
          <w:sz w:val="24"/>
          <w:szCs w:val="24"/>
          <w:lang w:eastAsia="ar-SA"/>
        </w:rPr>
        <w:t>14.11</w:t>
      </w:r>
      <w:r w:rsidR="0055081F">
        <w:rPr>
          <w:rFonts w:ascii="Arial" w:eastAsia="Times New Roman" w:hAnsi="Arial" w:cs="Arial"/>
          <w:sz w:val="24"/>
          <w:szCs w:val="24"/>
          <w:lang w:eastAsia="ar-SA"/>
        </w:rPr>
        <w:t>.2025</w:t>
      </w:r>
      <w:r w:rsidR="00B61692" w:rsidRPr="00B61692">
        <w:rPr>
          <w:rFonts w:ascii="Arial" w:eastAsia="Times New Roman" w:hAnsi="Arial" w:cs="Arial"/>
          <w:sz w:val="24"/>
          <w:szCs w:val="24"/>
          <w:lang w:eastAsia="ar-SA"/>
        </w:rPr>
        <w:t xml:space="preserve"> r</w:t>
      </w:r>
      <w:r w:rsidR="003A6E1D">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BC3877">
      <w:pPr>
        <w:pStyle w:val="Nagwek3"/>
      </w:pPr>
      <w:r w:rsidRPr="00674AD3">
        <w:t>Alokacja na nabór w PLN</w:t>
      </w:r>
    </w:p>
    <w:p w14:paraId="632BBBEE" w14:textId="4955A31E" w:rsidR="00ED4340" w:rsidRDefault="00AC4B1F"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3 494 356,00</w:t>
      </w:r>
      <w:r w:rsidR="0055081F">
        <w:rPr>
          <w:rFonts w:ascii="Arial" w:eastAsia="Times New Roman" w:hAnsi="Arial" w:cs="Arial"/>
          <w:sz w:val="24"/>
          <w:szCs w:val="24"/>
          <w:lang w:eastAsia="pl-PL"/>
        </w:rPr>
        <w:t xml:space="preserve"> </w:t>
      </w:r>
      <w:r w:rsidR="00F74BF6">
        <w:rPr>
          <w:rFonts w:ascii="Arial" w:eastAsia="Times New Roman" w:hAnsi="Arial" w:cs="Arial"/>
          <w:sz w:val="24"/>
          <w:szCs w:val="24"/>
          <w:lang w:eastAsia="pl-PL"/>
        </w:rPr>
        <w:t>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3535F009"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B84DC2">
        <w:rPr>
          <w:rFonts w:ascii="Arial" w:eastAsia="Times New Roman" w:hAnsi="Arial" w:cs="Arial"/>
          <w:b/>
          <w:sz w:val="24"/>
          <w:szCs w:val="24"/>
          <w:lang w:eastAsia="ar-SA"/>
        </w:rPr>
        <w:t>4074</w:t>
      </w:r>
      <w:r w:rsidR="00B84DC2" w:rsidRP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zł</w:t>
      </w:r>
      <w:r w:rsidR="003A6E1D">
        <w:rPr>
          <w:rFonts w:ascii="Arial" w:eastAsia="Times New Roman" w:hAnsi="Arial" w:cs="Arial"/>
          <w:b/>
          <w:sz w:val="24"/>
          <w:szCs w:val="24"/>
          <w:lang w:eastAsia="ar-SA"/>
        </w:rPr>
        <w:t>.</w:t>
      </w:r>
    </w:p>
    <w:p w14:paraId="32711751" w14:textId="77777777" w:rsidR="00ED4340" w:rsidRDefault="00ED4340" w:rsidP="00BC3877">
      <w:pPr>
        <w:pStyle w:val="Nagwek3"/>
      </w:pPr>
      <w:r>
        <w:t>Poziom dofinansowania wynikający z SZOP</w:t>
      </w:r>
    </w:p>
    <w:p w14:paraId="089FA659" w14:textId="4D9DF7F7" w:rsidR="0019359A"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C3877">
      <w:pPr>
        <w:pStyle w:val="Nagwek3"/>
      </w:pPr>
      <w:r w:rsidRPr="00AE61C3">
        <w:t>Przedmiot naboru</w:t>
      </w:r>
    </w:p>
    <w:p w14:paraId="576D0D60" w14:textId="6C4E67BE" w:rsidR="008A0C3A" w:rsidRPr="009908BA" w:rsidRDefault="008A0C3A" w:rsidP="00A319C9">
      <w:pPr>
        <w:numPr>
          <w:ilvl w:val="0"/>
          <w:numId w:val="40"/>
        </w:numPr>
        <w:spacing w:after="120" w:line="276" w:lineRule="auto"/>
        <w:ind w:left="567" w:hanging="567"/>
        <w:rPr>
          <w:rFonts w:ascii="Arial" w:eastAsia="Times New Roman" w:hAnsi="Arial" w:cs="Arial"/>
          <w:b/>
          <w:sz w:val="24"/>
          <w:szCs w:val="24"/>
          <w:lang w:eastAsia="ar-SA"/>
        </w:rPr>
      </w:pPr>
      <w:r w:rsidRPr="009908BA">
        <w:rPr>
          <w:rFonts w:ascii="Arial" w:eastAsia="Times New Roman" w:hAnsi="Arial" w:cs="Arial"/>
          <w:b/>
          <w:bCs/>
          <w:sz w:val="24"/>
          <w:szCs w:val="24"/>
          <w:lang w:eastAsia="ar-SA"/>
        </w:rPr>
        <w:t xml:space="preserve">Nabór obejmuje wyłącznie projekty ujęte na liście projektów w pozytywnie zaopiniowanej przez IZ Strategii ZIT lub liście projektów wynikającej z </w:t>
      </w:r>
      <w:r w:rsidR="009908BA" w:rsidRPr="009908BA">
        <w:rPr>
          <w:rFonts w:ascii="Arial" w:eastAsia="Times New Roman" w:hAnsi="Arial" w:cs="Arial"/>
          <w:b/>
          <w:bCs/>
          <w:sz w:val="24"/>
          <w:szCs w:val="24"/>
          <w:lang w:eastAsia="ar-SA"/>
        </w:rPr>
        <w:t xml:space="preserve">zawartego z Zarządem Województwa </w:t>
      </w:r>
      <w:r w:rsidRPr="009908BA">
        <w:rPr>
          <w:rFonts w:ascii="Arial" w:eastAsia="Times New Roman" w:hAnsi="Arial" w:cs="Arial"/>
          <w:b/>
          <w:bCs/>
          <w:sz w:val="24"/>
          <w:szCs w:val="24"/>
          <w:lang w:eastAsia="ar-SA"/>
        </w:rPr>
        <w:t>porozumienia terytorialnego.</w:t>
      </w:r>
    </w:p>
    <w:p w14:paraId="6AA9EB97" w14:textId="77777777" w:rsidR="004B039F" w:rsidRDefault="008A0C3A" w:rsidP="004B039F">
      <w:pPr>
        <w:numPr>
          <w:ilvl w:val="0"/>
          <w:numId w:val="40"/>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w:t>
      </w:r>
      <w:r w:rsidRPr="00310704">
        <w:rPr>
          <w:rFonts w:ascii="Arial" w:eastAsia="Times New Roman" w:hAnsi="Arial" w:cs="Arial"/>
          <w:sz w:val="24"/>
          <w:szCs w:val="24"/>
          <w:lang w:eastAsia="ar-SA"/>
        </w:rPr>
        <w:t xml:space="preserve">2 Fundusze europejskie dla środowiska, Działania 2.21 </w:t>
      </w:r>
      <w:r w:rsidRPr="004B039F">
        <w:rPr>
          <w:rFonts w:ascii="Arial" w:eastAsia="Times New Roman" w:hAnsi="Arial" w:cs="Arial"/>
          <w:i/>
          <w:sz w:val="24"/>
          <w:szCs w:val="24"/>
          <w:lang w:eastAsia="ar-SA"/>
        </w:rPr>
        <w:t>Wsparcie rozwoju OZE - ZIT - dotacja</w:t>
      </w:r>
      <w:r w:rsidRPr="00310704">
        <w:rPr>
          <w:rFonts w:ascii="Arial" w:eastAsia="Times New Roman" w:hAnsi="Arial" w:cs="Arial"/>
          <w:sz w:val="24"/>
          <w:szCs w:val="24"/>
          <w:lang w:eastAsia="ar-SA"/>
        </w:rPr>
        <w:t xml:space="preserve">, typu projektu A </w:t>
      </w:r>
      <w:r w:rsidRPr="004B039F">
        <w:rPr>
          <w:rFonts w:ascii="Arial" w:eastAsia="Times New Roman" w:hAnsi="Arial" w:cs="Arial"/>
          <w:i/>
          <w:sz w:val="24"/>
          <w:szCs w:val="24"/>
          <w:lang w:eastAsia="ar-SA"/>
        </w:rPr>
        <w:t>Magazyny energii</w:t>
      </w:r>
      <w:r w:rsidRPr="00735207">
        <w:rPr>
          <w:rFonts w:ascii="Arial" w:eastAsia="Times New Roman" w:hAnsi="Arial" w:cs="Arial"/>
          <w:sz w:val="24"/>
          <w:szCs w:val="24"/>
          <w:lang w:eastAsia="ar-SA"/>
        </w:rPr>
        <w:t>.</w:t>
      </w:r>
    </w:p>
    <w:p w14:paraId="17F8F641" w14:textId="6583B144" w:rsidR="008A0C3A" w:rsidRPr="004B039F" w:rsidRDefault="004B039F" w:rsidP="004B039F">
      <w:pPr>
        <w:numPr>
          <w:ilvl w:val="0"/>
          <w:numId w:val="40"/>
        </w:numPr>
        <w:spacing w:after="120" w:line="276" w:lineRule="auto"/>
        <w:ind w:left="567" w:hanging="567"/>
        <w:rPr>
          <w:rFonts w:ascii="Arial" w:eastAsia="Times New Roman" w:hAnsi="Arial" w:cs="Arial"/>
          <w:sz w:val="24"/>
          <w:szCs w:val="24"/>
          <w:lang w:eastAsia="ar-SA"/>
        </w:rPr>
      </w:pPr>
      <w:r w:rsidRPr="004B039F">
        <w:rPr>
          <w:rFonts w:ascii="Arial" w:eastAsia="Times New Roman" w:hAnsi="Arial" w:cs="Arial"/>
          <w:b/>
          <w:sz w:val="24"/>
          <w:szCs w:val="24"/>
          <w:lang w:eastAsia="pl-PL"/>
        </w:rPr>
        <w:t>Nabór obejmuje typ projektu A.</w:t>
      </w:r>
      <w:r>
        <w:rPr>
          <w:rFonts w:ascii="Arial" w:eastAsia="Times New Roman" w:hAnsi="Arial" w:cs="Arial"/>
          <w:sz w:val="24"/>
          <w:szCs w:val="24"/>
          <w:lang w:eastAsia="pl-PL"/>
        </w:rPr>
        <w:t xml:space="preserve"> </w:t>
      </w:r>
      <w:r w:rsidR="008A0C3A" w:rsidRPr="004B039F">
        <w:rPr>
          <w:rFonts w:ascii="Arial" w:eastAsia="Times New Roman" w:hAnsi="Arial" w:cs="Arial"/>
          <w:b/>
          <w:bCs/>
          <w:i/>
          <w:sz w:val="24"/>
          <w:szCs w:val="24"/>
          <w:lang w:eastAsia="pl-PL"/>
        </w:rPr>
        <w:t>Magazyny energii.</w:t>
      </w:r>
    </w:p>
    <w:p w14:paraId="450BE98A" w14:textId="77777777" w:rsidR="008A0C3A" w:rsidRPr="00D160D9" w:rsidRDefault="008A0C3A" w:rsidP="008A0C3A">
      <w:pPr>
        <w:suppressAutoHyphens/>
        <w:spacing w:before="120" w:after="120" w:line="276" w:lineRule="auto"/>
        <w:ind w:left="567"/>
        <w:rPr>
          <w:rFonts w:ascii="Arial" w:eastAsia="Times New Roman" w:hAnsi="Arial" w:cs="Arial"/>
          <w:b/>
          <w:sz w:val="24"/>
          <w:szCs w:val="24"/>
          <w:lang w:eastAsia="pl-PL"/>
        </w:rPr>
      </w:pPr>
      <w:r w:rsidRPr="00D160D9">
        <w:rPr>
          <w:rFonts w:ascii="Arial" w:eastAsia="Times New Roman" w:hAnsi="Arial" w:cs="Arial"/>
          <w:sz w:val="24"/>
          <w:szCs w:val="24"/>
          <w:lang w:eastAsia="pl-PL"/>
        </w:rPr>
        <w:t xml:space="preserve">W ramach typu projektu planowane jest wsparcie rozwoju magazynów energii, których zastosowanie zwiększy efektywność wykorzystania </w:t>
      </w:r>
      <w:r w:rsidRPr="00D160D9">
        <w:rPr>
          <w:rFonts w:ascii="Arial" w:eastAsia="Times New Roman" w:hAnsi="Arial" w:cs="Arial"/>
          <w:b/>
          <w:sz w:val="24"/>
          <w:szCs w:val="24"/>
          <w:lang w:eastAsia="pl-PL"/>
        </w:rPr>
        <w:t>energii z odnawialnych źródeł energii</w:t>
      </w:r>
      <w:r>
        <w:rPr>
          <w:rStyle w:val="Odwoanieprzypisudolnego"/>
          <w:rFonts w:ascii="Arial" w:eastAsia="Times New Roman" w:hAnsi="Arial" w:cs="Arial"/>
          <w:b/>
          <w:sz w:val="24"/>
          <w:szCs w:val="24"/>
          <w:lang w:eastAsia="pl-PL"/>
        </w:rPr>
        <w:footnoteReference w:id="1"/>
      </w:r>
      <w:r w:rsidRPr="00D160D9">
        <w:rPr>
          <w:rFonts w:ascii="Arial" w:eastAsia="Times New Roman" w:hAnsi="Arial" w:cs="Arial"/>
          <w:b/>
          <w:sz w:val="24"/>
          <w:szCs w:val="24"/>
          <w:lang w:eastAsia="pl-PL"/>
        </w:rPr>
        <w:t xml:space="preserve">. </w:t>
      </w:r>
    </w:p>
    <w:p w14:paraId="750B295F" w14:textId="77777777" w:rsidR="008A0C3A" w:rsidRPr="00D160D9" w:rsidRDefault="008A0C3A" w:rsidP="008A0C3A">
      <w:pPr>
        <w:suppressAutoHyphens/>
        <w:spacing w:before="120"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Dofinansowanie będzie możliwe na budowę, rozbudowę, zakup magazynów energii elektrycznej oraz magazynów ciepła zastosowanych dla </w:t>
      </w:r>
      <w:r w:rsidRPr="00D160D9">
        <w:rPr>
          <w:rFonts w:ascii="Arial" w:eastAsia="Times New Roman" w:hAnsi="Arial" w:cs="Arial"/>
          <w:b/>
          <w:sz w:val="24"/>
          <w:szCs w:val="24"/>
          <w:lang w:eastAsia="pl-PL"/>
        </w:rPr>
        <w:t>istniejącej</w:t>
      </w:r>
      <w:r w:rsidRPr="00D160D9">
        <w:rPr>
          <w:rFonts w:ascii="Arial" w:eastAsia="Times New Roman" w:hAnsi="Arial" w:cs="Arial"/>
          <w:sz w:val="24"/>
          <w:szCs w:val="24"/>
          <w:lang w:eastAsia="pl-PL"/>
        </w:rPr>
        <w:t xml:space="preserve"> już instalacji energii odnawialnej</w:t>
      </w:r>
      <w:r w:rsidRPr="00D160D9">
        <w:rPr>
          <w:rFonts w:ascii="Arial" w:eastAsia="Times New Roman" w:hAnsi="Arial" w:cs="Arial"/>
          <w:sz w:val="24"/>
          <w:szCs w:val="24"/>
          <w:vertAlign w:val="superscript"/>
          <w:lang w:eastAsia="pl-PL"/>
        </w:rPr>
        <w:footnoteReference w:id="2"/>
      </w:r>
      <w:r w:rsidRPr="00D160D9">
        <w:rPr>
          <w:rFonts w:ascii="Arial" w:eastAsia="Times New Roman" w:hAnsi="Arial" w:cs="Arial"/>
          <w:sz w:val="24"/>
          <w:szCs w:val="24"/>
          <w:lang w:eastAsia="pl-PL"/>
        </w:rPr>
        <w:t>.</w:t>
      </w:r>
    </w:p>
    <w:p w14:paraId="483F2456" w14:textId="77777777" w:rsidR="008A0C3A" w:rsidRPr="00D160D9" w:rsidRDefault="008A0C3A" w:rsidP="008A0C3A">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Projekty mogą być realizowane w formule projektów parasolowych, w których beneficjentem będzie jednostka samorządu terytorialnego realizująca projekty na rzecz odbiorców końcowych (właściciele budynków mieszkalnych jednorodzinnych).</w:t>
      </w:r>
    </w:p>
    <w:p w14:paraId="3961D6C7" w14:textId="77777777" w:rsidR="008A0C3A" w:rsidRPr="00D160D9" w:rsidRDefault="008A0C3A" w:rsidP="00A319C9">
      <w:pPr>
        <w:numPr>
          <w:ilvl w:val="0"/>
          <w:numId w:val="40"/>
        </w:numPr>
        <w:suppressAutoHyphens/>
        <w:spacing w:after="120" w:line="276" w:lineRule="auto"/>
        <w:ind w:left="567" w:hanging="567"/>
        <w:contextualSpacing/>
        <w:rPr>
          <w:rFonts w:ascii="Arial" w:eastAsia="Times New Roman" w:hAnsi="Arial" w:cs="Arial"/>
          <w:sz w:val="24"/>
          <w:szCs w:val="24"/>
          <w:lang w:eastAsia="pl-PL"/>
        </w:rPr>
      </w:pPr>
      <w:r w:rsidRPr="00D160D9">
        <w:rPr>
          <w:rFonts w:ascii="Arial" w:eastAsia="Times New Roman" w:hAnsi="Arial" w:cs="Arial"/>
          <w:sz w:val="24"/>
          <w:szCs w:val="24"/>
          <w:lang w:eastAsia="pl-PL"/>
        </w:rPr>
        <w:lastRenderedPageBreak/>
        <w:t>Planowana pojemność magazynów energii elektrycznej/ cieplnej powinna być dostosowana do produkcji energii elektrycznej/ cieplnej w istniejących urządzeniach OZE.</w:t>
      </w:r>
    </w:p>
    <w:p w14:paraId="79795A78" w14:textId="77777777" w:rsidR="008A0C3A" w:rsidRPr="00D160D9" w:rsidRDefault="008A0C3A" w:rsidP="008A0C3A">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Planowana pojemność magazynów energii powinna zostać dobrana na podstawie analizy profilu zużycia energii w budynku. Jest to indywidualna ocena zapotrzebowania na energię dla danego budynku. Magazyn energii, aby był opłacalną inwestycją powinien pracować w optymalnych i odpowiednio dobranych warunkach, dlatego ważne jest dostosowanie jego pojemności i mocy do rzeczywistych potrzeb. </w:t>
      </w:r>
    </w:p>
    <w:p w14:paraId="3F90A70E" w14:textId="77777777" w:rsidR="008A0C3A" w:rsidRPr="00D160D9" w:rsidRDefault="008A0C3A" w:rsidP="008A0C3A">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Wybór urządzenia poza parametrem pojemności powinien uwzględniać rodzaj i moc istniejącej w budynku instalacji OZE, moc magazynu uwzględniającą ilość urządzeń jaka będzie mogła być zasilona.</w:t>
      </w:r>
    </w:p>
    <w:p w14:paraId="2B65887F" w14:textId="77777777" w:rsidR="008A0C3A" w:rsidRPr="00D160D9" w:rsidRDefault="008A0C3A" w:rsidP="00A319C9">
      <w:pPr>
        <w:numPr>
          <w:ilvl w:val="0"/>
          <w:numId w:val="40"/>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Warunki wsparcia projektów przewidujących dofinansowanie rozwoju magazynów energii w budynkach mieszkalnych jednorodzinnych:</w:t>
      </w:r>
    </w:p>
    <w:p w14:paraId="713243C1" w14:textId="77777777"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dofinansowanie może obejmować wyłącznie zakup i montaż magazynu energii (kwalifikowalne są wyłącznie elementy instalacji zlokalizowane na nieruchomości lub części nieruchomości użyczonej na rzecz jednostki samorządu terytorialnego będącej beneficjentem);</w:t>
      </w:r>
    </w:p>
    <w:p w14:paraId="305E383A" w14:textId="77777777"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właścicielem zakupionej infrastruktury będzie jednostka samorządu terytorialnego – przez okres realizacji oraz trwałości projektu, co wiąże się również z koniecznością ponoszenia kosztów eksploatacyjnych;</w:t>
      </w:r>
    </w:p>
    <w:p w14:paraId="299FDF51" w14:textId="77777777"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nieruchomość lub część nieruchomości, na której zostanie zamontowania przedmiotowa infrastruktura zostanie nieodpłatnie użyczon</w:t>
      </w:r>
      <w:r>
        <w:rPr>
          <w:rFonts w:ascii="Arial" w:eastAsia="Times New Roman" w:hAnsi="Arial" w:cs="Arial"/>
          <w:sz w:val="24"/>
          <w:szCs w:val="24"/>
          <w:lang w:eastAsia="pl-PL"/>
        </w:rPr>
        <w:t>a</w:t>
      </w:r>
      <w:r w:rsidRPr="00D160D9">
        <w:rPr>
          <w:rFonts w:ascii="Arial" w:eastAsia="Times New Roman" w:hAnsi="Arial" w:cs="Arial"/>
          <w:sz w:val="24"/>
          <w:szCs w:val="24"/>
          <w:lang w:eastAsia="pl-PL"/>
        </w:rPr>
        <w:t xml:space="preserve"> jednostce samorządu terytorialnego będącej beneficjentem</w:t>
      </w:r>
      <w:r w:rsidRPr="00D160D9">
        <w:rPr>
          <w:rFonts w:ascii="Arial" w:eastAsia="Times New Roman" w:hAnsi="Arial" w:cs="Arial"/>
          <w:sz w:val="24"/>
          <w:szCs w:val="24"/>
          <w:vertAlign w:val="superscript"/>
          <w:lang w:eastAsia="pl-PL"/>
        </w:rPr>
        <w:footnoteReference w:id="3"/>
      </w:r>
      <w:r w:rsidRPr="00D160D9">
        <w:rPr>
          <w:rFonts w:ascii="Arial" w:eastAsia="Times New Roman" w:hAnsi="Arial" w:cs="Arial"/>
          <w:sz w:val="24"/>
          <w:szCs w:val="24"/>
          <w:lang w:eastAsia="pl-PL"/>
        </w:rPr>
        <w:t>;</w:t>
      </w:r>
    </w:p>
    <w:p w14:paraId="7546DC85" w14:textId="77777777"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moc magazynu energii przewidzianego do dofinansowania nie będzie przekraczać sumarycznej mocy wszystkich jednostek wytwórczych wchodzących w skład istniejącej instalacji OZE;</w:t>
      </w:r>
    </w:p>
    <w:p w14:paraId="3A86E010" w14:textId="77777777"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 budynku dla którego dedykowana jest przedmiotowa infrastruktura nie będzie prowadzona działalność gospodarcza - warunek dotyczy również okresu ekonomicznej użyteczności infrastruktury;</w:t>
      </w:r>
    </w:p>
    <w:p w14:paraId="634EA87E" w14:textId="53B2D8E2" w:rsidR="008A0C3A" w:rsidRPr="00D160D9" w:rsidRDefault="008A0C3A" w:rsidP="00A319C9">
      <w:pPr>
        <w:numPr>
          <w:ilvl w:val="0"/>
          <w:numId w:val="44"/>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Beneficjent będzie zobowiązany do zapewnienia odpowiedniego systemu kontroli urządzeń eksploatowanych przez odbiorców końcowych, zarówno przez pracowników jednostki, jak i przez osoby wyznaczone przez IZ FEM. Spełnienie tych warunków będzie się opierało na zawartych z odbiorcami np. porozumieniach/umowach.</w:t>
      </w:r>
      <w:r w:rsidRPr="00D160D9">
        <w:rPr>
          <w:rFonts w:ascii="Times New Roman" w:eastAsia="Times New Roman" w:hAnsi="Times New Roman" w:cs="Times New Roman"/>
          <w:sz w:val="20"/>
          <w:szCs w:val="20"/>
          <w:lang w:eastAsia="pl-PL"/>
        </w:rPr>
        <w:t xml:space="preserve"> </w:t>
      </w:r>
      <w:r w:rsidR="00622475" w:rsidRPr="00DF0344">
        <w:rPr>
          <w:rFonts w:ascii="Arial" w:hAnsi="Arial" w:cs="Arial"/>
          <w:sz w:val="24"/>
          <w:szCs w:val="24"/>
        </w:rPr>
        <w:t xml:space="preserve">Umowa/ porozumienie zawarte z odbiorcą końcowym powinno również regulować kwestię dotyczącą nieodpłatnego użyczenia przez właściciela budynku – na rzecz jednostki samorządu </w:t>
      </w:r>
      <w:r w:rsidR="00622475" w:rsidRPr="00DF0344">
        <w:rPr>
          <w:rFonts w:ascii="Arial" w:hAnsi="Arial" w:cs="Arial"/>
          <w:sz w:val="24"/>
          <w:szCs w:val="24"/>
        </w:rPr>
        <w:lastRenderedPageBreak/>
        <w:t>terytorialnego będącej beneficjentem – nieruchomości lub części nieruchomości, na której zostanie zamontowana przedmiotowa infrastruktura.</w:t>
      </w:r>
    </w:p>
    <w:p w14:paraId="5BA2CC14" w14:textId="77777777" w:rsidR="008A0C3A" w:rsidRPr="00D160D9" w:rsidRDefault="008A0C3A" w:rsidP="00A319C9">
      <w:pPr>
        <w:numPr>
          <w:ilvl w:val="0"/>
          <w:numId w:val="40"/>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 odniesieniu do przedsięwzięć wspieranych w ramach Działania zastosowanie będą mieć następujące zasady:</w:t>
      </w:r>
    </w:p>
    <w:p w14:paraId="0F7C0119" w14:textId="77777777" w:rsidR="008A0C3A" w:rsidRPr="00D160D9" w:rsidRDefault="008A0C3A" w:rsidP="00A319C9">
      <w:pPr>
        <w:numPr>
          <w:ilvl w:val="0"/>
          <w:numId w:val="42"/>
        </w:numPr>
        <w:suppressAutoHyphens/>
        <w:spacing w:after="120" w:line="276" w:lineRule="auto"/>
        <w:rPr>
          <w:rFonts w:ascii="Arial" w:eastAsia="Times New Roman" w:hAnsi="Arial" w:cs="Arial"/>
          <w:sz w:val="24"/>
          <w:szCs w:val="24"/>
          <w:lang w:eastAsia="pl-PL"/>
        </w:rPr>
      </w:pPr>
      <w:r w:rsidRPr="00D160D9">
        <w:rPr>
          <w:rFonts w:ascii="Arial" w:eastAsia="Times New Roman" w:hAnsi="Arial" w:cs="Arial"/>
          <w:b/>
          <w:sz w:val="24"/>
          <w:szCs w:val="24"/>
          <w:lang w:eastAsia="pl-PL"/>
        </w:rPr>
        <w:t>moc pojedynczego magazynu przewidzianego do dofinansowania nie może przekraczać 1 MW</w:t>
      </w:r>
      <w:r>
        <w:rPr>
          <w:rFonts w:ascii="Arial" w:eastAsia="Times New Roman" w:hAnsi="Arial" w:cs="Arial"/>
          <w:b/>
          <w:sz w:val="24"/>
          <w:szCs w:val="24"/>
          <w:lang w:eastAsia="pl-PL"/>
        </w:rPr>
        <w:t>e</w:t>
      </w:r>
      <w:r w:rsidRPr="00D160D9">
        <w:rPr>
          <w:rFonts w:ascii="Arial" w:eastAsia="Times New Roman" w:hAnsi="Arial" w:cs="Arial"/>
          <w:b/>
          <w:sz w:val="24"/>
          <w:szCs w:val="24"/>
          <w:lang w:eastAsia="pl-PL"/>
        </w:rPr>
        <w:t xml:space="preserve">, </w:t>
      </w:r>
      <w:r w:rsidRPr="00D160D9">
        <w:rPr>
          <w:rFonts w:ascii="Arial" w:eastAsia="Times New Roman" w:hAnsi="Arial" w:cs="Arial"/>
          <w:sz w:val="24"/>
          <w:szCs w:val="24"/>
          <w:lang w:eastAsia="pl-PL"/>
        </w:rPr>
        <w:t>przy czym w przypadku magazynów realizowanych w ramach instalacji OZE ich moc nie powinna przekraczać sumarycznej mocy wszystkich jednostek wytwórczych wchodzących w skład tej instalacji</w:t>
      </w:r>
      <w:r>
        <w:rPr>
          <w:rFonts w:ascii="Arial" w:eastAsia="Times New Roman" w:hAnsi="Arial" w:cs="Arial"/>
          <w:sz w:val="24"/>
          <w:szCs w:val="24"/>
          <w:lang w:eastAsia="pl-PL"/>
        </w:rPr>
        <w:t>.</w:t>
      </w:r>
    </w:p>
    <w:p w14:paraId="2342C9CA" w14:textId="77777777" w:rsidR="008A0C3A" w:rsidRDefault="008A0C3A" w:rsidP="00A319C9">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54441C94" w14:textId="77777777" w:rsidR="008A0C3A" w:rsidRPr="00D62B84" w:rsidRDefault="008A0C3A" w:rsidP="00A319C9">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Pr>
          <w:rFonts w:ascii="Arial" w:hAnsi="Arial" w:cs="Arial"/>
          <w:iCs/>
          <w:sz w:val="24"/>
          <w:szCs w:val="24"/>
        </w:rPr>
        <w:t>2.21</w:t>
      </w:r>
      <w:r w:rsidRPr="006D242D">
        <w:rPr>
          <w:rFonts w:ascii="Arial" w:hAnsi="Arial" w:cs="Arial"/>
          <w:iCs/>
          <w:sz w:val="24"/>
          <w:szCs w:val="24"/>
        </w:rPr>
        <w:t xml:space="preserve"> </w:t>
      </w:r>
      <w:r w:rsidRPr="00D160D9">
        <w:rPr>
          <w:rFonts w:ascii="Arial" w:hAnsi="Arial" w:cs="Arial"/>
          <w:iCs/>
          <w:sz w:val="24"/>
          <w:szCs w:val="24"/>
        </w:rPr>
        <w:t>Wsparcie rozwoju OZE - ZIT - dotacja, typu projektu A Magazyny energii</w:t>
      </w:r>
      <w:r w:rsidRPr="00D62B84">
        <w:rPr>
          <w:rFonts w:ascii="Arial" w:hAnsi="Arial" w:cs="Arial"/>
          <w:iCs/>
          <w:sz w:val="24"/>
          <w:szCs w:val="24"/>
        </w:rPr>
        <w:t>, wynikające z kryteriów wyboru przyjętych przez KM FEM 2021-2027, będących załącznikiem do ogłoszenia o naborze wniosku:</w:t>
      </w:r>
    </w:p>
    <w:p w14:paraId="54093D92" w14:textId="77777777" w:rsidR="008A0C3A"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018BE1C9" w14:textId="77777777" w:rsidR="008A0C3A" w:rsidRDefault="008A0C3A" w:rsidP="00A319C9">
      <w:pPr>
        <w:numPr>
          <w:ilvl w:val="0"/>
          <w:numId w:val="41"/>
        </w:numPr>
        <w:suppressAutoHyphens/>
        <w:spacing w:after="120" w:line="276" w:lineRule="auto"/>
        <w:ind w:hanging="502"/>
        <w:rPr>
          <w:rFonts w:ascii="Arial" w:hAnsi="Arial" w:cs="Arial"/>
          <w:sz w:val="24"/>
          <w:szCs w:val="24"/>
        </w:rPr>
      </w:pPr>
      <w:r w:rsidRPr="008D6A3E">
        <w:rPr>
          <w:rFonts w:ascii="Arial" w:hAnsi="Arial" w:cs="Arial"/>
          <w:sz w:val="24"/>
          <w:szCs w:val="24"/>
        </w:rPr>
        <w:t>ujęcie projektu w obowiązującej Strategii ZIT lub zawartym z Zarządem Województwa porozumieniu terytorialnym obszaru, na którym jest realizowany,</w:t>
      </w:r>
    </w:p>
    <w:p w14:paraId="6E618407"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E130099"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A0ABCEF" w14:textId="77777777" w:rsidR="008A0C3A"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8FEDE02"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497F3FA"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3477A466"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6CEAAA14"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018BB6FB"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67F77C72"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C6E0346"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43805BE9"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E52DE6D"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3C2BBAD6" w14:textId="77777777" w:rsidR="008A0C3A" w:rsidRPr="00D62B84" w:rsidRDefault="008A0C3A" w:rsidP="008A0C3A">
      <w:pPr>
        <w:spacing w:after="120" w:line="276" w:lineRule="auto"/>
        <w:ind w:left="1069"/>
        <w:rPr>
          <w:rFonts w:ascii="Arial" w:hAnsi="Arial" w:cs="Arial"/>
          <w:sz w:val="24"/>
          <w:szCs w:val="24"/>
        </w:rPr>
      </w:pPr>
      <w:r w:rsidRPr="00D62B84">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Pr>
          <w:rFonts w:ascii="Arial" w:hAnsi="Arial" w:cs="Arial"/>
          <w:bCs/>
          <w:iCs/>
          <w:sz w:val="24"/>
          <w:szCs w:val="24"/>
        </w:rPr>
        <w:t>Szczegółowa p</w:t>
      </w:r>
      <w:r w:rsidRPr="00D62B84">
        <w:rPr>
          <w:rFonts w:ascii="Arial" w:hAnsi="Arial" w:cs="Arial"/>
          <w:bCs/>
          <w:iCs/>
          <w:sz w:val="24"/>
          <w:szCs w:val="24"/>
        </w:rPr>
        <w:t>rocedur</w:t>
      </w:r>
      <w:r>
        <w:rPr>
          <w:rFonts w:ascii="Arial" w:hAnsi="Arial" w:cs="Arial"/>
          <w:bCs/>
          <w:iCs/>
          <w:sz w:val="24"/>
          <w:szCs w:val="24"/>
        </w:rPr>
        <w:t xml:space="preserve">a wnoszenia zgłoszeń w zakresie </w:t>
      </w:r>
      <w:r w:rsidRPr="00D62B84">
        <w:rPr>
          <w:rFonts w:ascii="Arial" w:hAnsi="Arial" w:cs="Arial"/>
          <w:bCs/>
          <w:iCs/>
          <w:sz w:val="24"/>
          <w:szCs w:val="24"/>
        </w:rPr>
        <w:t>zgodności</w:t>
      </w:r>
      <w:r w:rsidRPr="00D62B84">
        <w:rPr>
          <w:rFonts w:ascii="Arial" w:hAnsi="Arial" w:cs="Arial"/>
          <w:bCs/>
          <w:iCs/>
          <w:sz w:val="24"/>
          <w:szCs w:val="24"/>
          <w:vertAlign w:val="superscript"/>
        </w:rPr>
        <w:footnoteReference w:id="4"/>
      </w:r>
      <w:r w:rsidRPr="00D62B84">
        <w:rPr>
          <w:rFonts w:ascii="Arial" w:hAnsi="Arial" w:cs="Arial"/>
          <w:bCs/>
          <w:iCs/>
          <w:sz w:val="24"/>
          <w:szCs w:val="24"/>
        </w:rPr>
        <w:t xml:space="preserve"> </w:t>
      </w:r>
      <w:r>
        <w:rPr>
          <w:rFonts w:ascii="Arial" w:hAnsi="Arial" w:cs="Arial"/>
          <w:bCs/>
          <w:iCs/>
          <w:sz w:val="24"/>
          <w:szCs w:val="24"/>
        </w:rPr>
        <w:t>z KPP/KPON oraz sposób ich rozpatrywania, zostały zamieszczone na stronie programu FEM:</w:t>
      </w:r>
      <w:hyperlink r:id="rId9" w:history="1">
        <w:r w:rsidRPr="00044FCB">
          <w:rPr>
            <w:rStyle w:val="Hipercze"/>
            <w:rFonts w:ascii="Arial" w:hAnsi="Arial" w:cs="Arial"/>
            <w:bCs/>
            <w:iCs/>
            <w:sz w:val="24"/>
            <w:szCs w:val="24"/>
          </w:rPr>
          <w:t>https://www.fundusze.malopolska.pl/poradnik/8312-zgloszenia-podejrzenia-niezgodnosci-z-karta-praw-podstawowych-unii-europejskiej-i</w:t>
        </w:r>
      </w:hyperlink>
      <w:r>
        <w:rPr>
          <w:rFonts w:ascii="Arial" w:hAnsi="Arial" w:cs="Arial"/>
          <w:bCs/>
          <w:iCs/>
          <w:sz w:val="24"/>
          <w:szCs w:val="24"/>
        </w:rPr>
        <w:t xml:space="preserve"> </w:t>
      </w:r>
    </w:p>
    <w:p w14:paraId="74AB8944"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3BDFAA0" w14:textId="77777777" w:rsidR="008A0C3A" w:rsidRPr="00D62B84" w:rsidRDefault="008A0C3A" w:rsidP="00A319C9">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A44AEF4" w14:textId="77777777" w:rsidR="008A0C3A" w:rsidRPr="00D62B84" w:rsidRDefault="008A0C3A" w:rsidP="00A319C9">
      <w:pPr>
        <w:numPr>
          <w:ilvl w:val="0"/>
          <w:numId w:val="4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17F8B6F6" w14:textId="77777777" w:rsidR="008A0C3A" w:rsidRPr="00D160D9" w:rsidRDefault="008A0C3A" w:rsidP="00A319C9">
      <w:pPr>
        <w:numPr>
          <w:ilvl w:val="0"/>
          <w:numId w:val="4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Pr>
          <w:rFonts w:ascii="Arial" w:hAnsi="Arial" w:cs="Arial"/>
          <w:sz w:val="24"/>
          <w:szCs w:val="24"/>
        </w:rPr>
        <w:t>)</w:t>
      </w:r>
      <w:r w:rsidRPr="00D160D9">
        <w:rPr>
          <w:rFonts w:ascii="Arial" w:hAnsi="Arial" w:cs="Arial"/>
          <w:sz w:val="24"/>
          <w:szCs w:val="24"/>
        </w:rPr>
        <w:t>.</w:t>
      </w:r>
    </w:p>
    <w:p w14:paraId="3B8FB98F" w14:textId="77777777" w:rsidR="008A0C3A" w:rsidRPr="00ED2C2D" w:rsidRDefault="008A0C3A" w:rsidP="00A319C9">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13CE73A6" w14:textId="77777777" w:rsidR="008A0C3A" w:rsidRPr="00880773" w:rsidRDefault="008A0C3A" w:rsidP="00A319C9">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 xml:space="preserve">lub w pełni zrealizowane przed złożeniem wniosku o dofinansowanie projektu, niezależnie od tego, </w:t>
      </w:r>
      <w:r w:rsidRPr="00ED2C2D">
        <w:rPr>
          <w:rFonts w:ascii="Arial" w:hAnsi="Arial" w:cs="Arial"/>
          <w:b/>
          <w:bCs/>
          <w:sz w:val="24"/>
          <w:szCs w:val="24"/>
        </w:rPr>
        <w:lastRenderedPageBreak/>
        <w:t>czy wszystkie powiązane płatności zostały dokonane przez Wnioskodawcę, zgodnie z art. 63 ust. 6 Rozporządzenia ogólnego.</w:t>
      </w:r>
    </w:p>
    <w:p w14:paraId="07F22521" w14:textId="77777777" w:rsidR="008A0C3A" w:rsidRPr="008A0C3A" w:rsidRDefault="008A0C3A" w:rsidP="00A319C9">
      <w:pPr>
        <w:pStyle w:val="Akapitzlist"/>
        <w:numPr>
          <w:ilvl w:val="0"/>
          <w:numId w:val="40"/>
        </w:numPr>
        <w:suppressAutoHyphens/>
        <w:spacing w:after="60" w:line="276" w:lineRule="auto"/>
        <w:rPr>
          <w:rFonts w:ascii="Arial" w:hAnsi="Arial" w:cs="Arial"/>
          <w:i/>
          <w:iCs/>
          <w:color w:val="00000A"/>
          <w:sz w:val="24"/>
          <w:szCs w:val="24"/>
        </w:rPr>
      </w:pPr>
      <w:r w:rsidRPr="008A0C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sidR="00D62B84" w:rsidRPr="008A0C3A">
        <w:rPr>
          <w:rFonts w:ascii="Arial" w:hAnsi="Arial" w:cs="Arial"/>
          <w:iCs/>
          <w:sz w:val="24"/>
          <w:szCs w:val="24"/>
        </w:rPr>
        <w:t>.</w:t>
      </w:r>
    </w:p>
    <w:p w14:paraId="0A9BA7B9" w14:textId="11DA8A23" w:rsidR="008E48A1" w:rsidRPr="008A0C3A" w:rsidRDefault="00D62B84" w:rsidP="00A319C9">
      <w:pPr>
        <w:pStyle w:val="Akapitzlist"/>
        <w:numPr>
          <w:ilvl w:val="0"/>
          <w:numId w:val="40"/>
        </w:numPr>
        <w:suppressAutoHyphens/>
        <w:spacing w:after="60" w:line="276" w:lineRule="auto"/>
        <w:rPr>
          <w:rFonts w:ascii="Arial" w:hAnsi="Arial" w:cs="Arial"/>
          <w:i/>
          <w:iCs/>
          <w:color w:val="00000A"/>
          <w:sz w:val="24"/>
          <w:szCs w:val="24"/>
        </w:rPr>
      </w:pPr>
      <w:r w:rsidRPr="008A0C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A0C3A">
        <w:rPr>
          <w:rFonts w:ascii="Arial" w:hAnsi="Arial" w:cs="Arial"/>
          <w:bCs/>
          <w:i/>
          <w:iCs/>
          <w:sz w:val="24"/>
          <w:szCs w:val="24"/>
        </w:rPr>
        <w:t>o udostępnianiu informacji o środowisku i jego ochronie, udziale społeczeństwa w ochronie środowiska oraz o ocenach oddziaływania na środowisko</w:t>
      </w:r>
      <w:r w:rsidRPr="008A0C3A">
        <w:rPr>
          <w:rFonts w:ascii="Arial" w:hAnsi="Arial" w:cs="Arial"/>
          <w:bCs/>
          <w:iCs/>
          <w:sz w:val="24"/>
          <w:szCs w:val="24"/>
        </w:rPr>
        <w:t xml:space="preserve"> (w przypadku przedsięwzięć wymienionych w rozporządzeniu OOŚ</w:t>
      </w:r>
      <w:r w:rsidRPr="00D62B84">
        <w:rPr>
          <w:iCs/>
          <w:vertAlign w:val="superscript"/>
        </w:rPr>
        <w:footnoteReference w:id="6"/>
      </w:r>
      <w:r w:rsidRPr="008A0C3A">
        <w:rPr>
          <w:rFonts w:ascii="Arial" w:hAnsi="Arial" w:cs="Arial"/>
          <w:bCs/>
          <w:iCs/>
          <w:sz w:val="24"/>
          <w:szCs w:val="24"/>
        </w:rPr>
        <w:t xml:space="preserve">), z zastrzeżeniem zapisów §25 </w:t>
      </w:r>
      <w:r w:rsidRPr="008A0C3A">
        <w:rPr>
          <w:rFonts w:ascii="Arial" w:hAnsi="Arial" w:cs="Arial"/>
          <w:bCs/>
          <w:i/>
          <w:iCs/>
          <w:sz w:val="24"/>
          <w:szCs w:val="24"/>
        </w:rPr>
        <w:t>Regulaminu</w:t>
      </w:r>
      <w:r w:rsidR="00730264" w:rsidRPr="008A0C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A0C3A">
        <w:rPr>
          <w:rFonts w:ascii="Arial" w:hAnsi="Arial" w:cs="Arial"/>
          <w:i/>
          <w:iCs/>
          <w:sz w:val="24"/>
          <w:szCs w:val="24"/>
        </w:rPr>
        <w:t>.</w:t>
      </w:r>
    </w:p>
    <w:p w14:paraId="0C46CC56" w14:textId="77BEB42A" w:rsidR="00E5638B" w:rsidRPr="009E599A" w:rsidRDefault="00E5638B" w:rsidP="00BC3877">
      <w:pPr>
        <w:pStyle w:val="Nagwek3"/>
      </w:pPr>
      <w:r w:rsidRPr="009E599A">
        <w:rPr>
          <w:shd w:val="clear" w:color="auto" w:fill="D9D9D9" w:themeFill="background1" w:themeFillShade="D9"/>
        </w:rPr>
        <w:t>Wyjaśnienie użytych pojęć:</w:t>
      </w:r>
    </w:p>
    <w:p w14:paraId="130F25E2" w14:textId="77777777" w:rsidR="00A319C9" w:rsidRDefault="00A319C9" w:rsidP="00A319C9">
      <w:pPr>
        <w:pStyle w:val="Akapitzlist"/>
        <w:numPr>
          <w:ilvl w:val="4"/>
          <w:numId w:val="46"/>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cieplnej</w:t>
      </w:r>
      <w:r w:rsidRPr="00C472C8">
        <w:rPr>
          <w:rFonts w:ascii="Arial" w:eastAsia="Calibri" w:hAnsi="Arial" w:cs="Arial"/>
          <w:sz w:val="24"/>
          <w:szCs w:val="24"/>
        </w:rPr>
        <w:t xml:space="preserve"> - wyodrębniona instalacja służąca do przechowywania energii cieplnej w dowolnej postaci, w sposób pozwalający na, co najmniej częściowe jej odzyskanie.</w:t>
      </w:r>
    </w:p>
    <w:p w14:paraId="322C286E" w14:textId="77777777" w:rsidR="00A319C9" w:rsidRDefault="00A319C9" w:rsidP="00A319C9">
      <w:pPr>
        <w:pStyle w:val="Akapitzlist"/>
        <w:numPr>
          <w:ilvl w:val="4"/>
          <w:numId w:val="46"/>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elektrycznej</w:t>
      </w:r>
      <w:r w:rsidRPr="00C472C8">
        <w:rPr>
          <w:rFonts w:ascii="Arial" w:eastAsia="Calibri" w:hAnsi="Arial" w:cs="Arial"/>
          <w:sz w:val="24"/>
          <w:szCs w:val="24"/>
        </w:rPr>
        <w:t>- zgodnie z art. 3 pkt 10k) Ustawy z dnia 10 kwietnia 1997 r. Prawo energetyczne – instalacja umożliwiająca magazynowanie energii elektrycznej i wprowadzenie jej do sieci elektroenergetycznej.</w:t>
      </w:r>
    </w:p>
    <w:p w14:paraId="2F3E378A" w14:textId="77777777" w:rsidR="00A319C9" w:rsidRPr="00A319C9" w:rsidRDefault="001B6E95" w:rsidP="00A319C9">
      <w:pPr>
        <w:pStyle w:val="Akapitzlist"/>
        <w:numPr>
          <w:ilvl w:val="4"/>
          <w:numId w:val="46"/>
        </w:numPr>
        <w:tabs>
          <w:tab w:val="left" w:pos="567"/>
        </w:tabs>
        <w:suppressAutoHyphens/>
        <w:spacing w:before="120" w:after="120" w:line="276" w:lineRule="auto"/>
        <w:ind w:left="567" w:hanging="567"/>
        <w:contextualSpacing w:val="0"/>
        <w:rPr>
          <w:rFonts w:ascii="Arial" w:eastAsia="Calibri" w:hAnsi="Arial" w:cs="Arial"/>
          <w:sz w:val="24"/>
          <w:szCs w:val="24"/>
        </w:rPr>
      </w:pPr>
      <w:r w:rsidRPr="00A319C9">
        <w:rPr>
          <w:rFonts w:ascii="Arial" w:eastAsia="Times New Roman" w:hAnsi="Arial" w:cs="Arial"/>
          <w:b/>
          <w:sz w:val="24"/>
          <w:szCs w:val="24"/>
          <w:lang w:eastAsia="ar-SA"/>
        </w:rPr>
        <w:t>Deinstytucjonalizacja usług</w:t>
      </w:r>
      <w:r w:rsidRPr="00A319C9">
        <w:rPr>
          <w:rFonts w:ascii="Arial" w:eastAsia="Times New Roman" w:hAnsi="Arial" w:cs="Arial"/>
          <w:sz w:val="24"/>
          <w:szCs w:val="24"/>
          <w:lang w:eastAsia="ar-SA"/>
        </w:rPr>
        <w:t xml:space="preserve"> – 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w:t>
      </w:r>
      <w:r w:rsidRPr="00A319C9">
        <w:rPr>
          <w:rFonts w:ascii="Arial" w:eastAsia="Times New Roman" w:hAnsi="Arial" w:cs="Arial"/>
          <w:sz w:val="24"/>
          <w:szCs w:val="24"/>
          <w:lang w:eastAsia="ar-SA"/>
        </w:rPr>
        <w:lastRenderedPageBreak/>
        <w:t>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 Opieka instytucjonalna realizowana jest w szczególności w takich instytucjach jak dom pomocy społecznej, o którym mowa w Ustawie z dnia 12 marca 2004 r. o pomocy społecznej; zakład opiekuńczo-leczniczy i zakład pielęgnacyjno-opiekuńczy, o których mowa w Ustawie z dnia 27 sierpnia 2004 r. o świadczeniach opieki zdrowotnej finansowanych ze środków publicznych.</w:t>
      </w:r>
    </w:p>
    <w:p w14:paraId="1665C511" w14:textId="4500154E" w:rsidR="001B6E95" w:rsidRPr="00A319C9" w:rsidRDefault="001B6E95" w:rsidP="00A319C9">
      <w:pPr>
        <w:pStyle w:val="Akapitzlist"/>
        <w:numPr>
          <w:ilvl w:val="4"/>
          <w:numId w:val="46"/>
        </w:numPr>
        <w:tabs>
          <w:tab w:val="left" w:pos="567"/>
        </w:tabs>
        <w:suppressAutoHyphens/>
        <w:spacing w:before="120" w:after="120" w:line="276" w:lineRule="auto"/>
        <w:ind w:left="567" w:hanging="567"/>
        <w:contextualSpacing w:val="0"/>
        <w:rPr>
          <w:rFonts w:ascii="Arial" w:eastAsia="Calibri" w:hAnsi="Arial" w:cs="Arial"/>
          <w:sz w:val="24"/>
          <w:szCs w:val="24"/>
        </w:rPr>
      </w:pPr>
      <w:r w:rsidRPr="00A319C9">
        <w:rPr>
          <w:rFonts w:ascii="Arial" w:eastAsia="Times New Roman" w:hAnsi="Arial" w:cs="Arial"/>
          <w:b/>
          <w:sz w:val="24"/>
          <w:szCs w:val="24"/>
          <w:lang w:eastAsia="ar-SA"/>
        </w:rPr>
        <w:t>Usługi świadczone w społeczności lokalnej</w:t>
      </w:r>
      <w:r w:rsidRPr="00A319C9">
        <w:rPr>
          <w:rFonts w:ascii="Arial" w:eastAsia="Times New Roman" w:hAnsi="Arial" w:cs="Arial"/>
          <w:sz w:val="24"/>
          <w:szCs w:val="24"/>
          <w:lang w:eastAsia="ar-SA"/>
        </w:rPr>
        <w:t xml:space="preserve"> – rozumie się przez to usługi świadczone w sposób spełniający łącznie wszystkie poniższe warunki: </w:t>
      </w:r>
    </w:p>
    <w:p w14:paraId="5945E9D4" w14:textId="77777777" w:rsidR="001B6E95" w:rsidRPr="001B6E95" w:rsidRDefault="001B6E95" w:rsidP="00A319C9">
      <w:pPr>
        <w:pStyle w:val="Akapitzlist"/>
        <w:numPr>
          <w:ilvl w:val="0"/>
          <w:numId w:val="36"/>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zindywidualizowany (dostosowany do potrzeb i możliwości danej osoby);</w:t>
      </w:r>
    </w:p>
    <w:p w14:paraId="6A283CE2" w14:textId="77777777" w:rsidR="001B6E95" w:rsidRPr="001B6E95" w:rsidRDefault="001B6E95" w:rsidP="00A319C9">
      <w:pPr>
        <w:pStyle w:val="Akapitzlist"/>
        <w:numPr>
          <w:ilvl w:val="0"/>
          <w:numId w:val="36"/>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umożliwiający odbiorcom tych usług kontrolę nad swoim życiem i nad decyzjami, które ich dotyczą;</w:t>
      </w:r>
    </w:p>
    <w:p w14:paraId="24B4A642" w14:textId="77777777" w:rsidR="001B6E95" w:rsidRPr="001B6E95" w:rsidRDefault="001B6E95" w:rsidP="00A319C9">
      <w:pPr>
        <w:pStyle w:val="Akapitzlist"/>
        <w:numPr>
          <w:ilvl w:val="0"/>
          <w:numId w:val="36"/>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zapewniający, że odbiorcy usług nie są odizolowani od ogółu społeczności lub nie są zmuszeni do mieszkania razem;</w:t>
      </w:r>
    </w:p>
    <w:p w14:paraId="6643FA10" w14:textId="415B0AFE" w:rsidR="001B6E95" w:rsidRPr="00245489" w:rsidRDefault="001B6E95" w:rsidP="00A319C9">
      <w:pPr>
        <w:pStyle w:val="Akapitzlist"/>
        <w:numPr>
          <w:ilvl w:val="0"/>
          <w:numId w:val="36"/>
        </w:numPr>
        <w:spacing w:after="120" w:line="276" w:lineRule="auto"/>
        <w:contextualSpacing w:val="0"/>
        <w:rPr>
          <w:rFonts w:ascii="Arial" w:eastAsia="Times New Roman" w:hAnsi="Arial" w:cs="Arial"/>
          <w:sz w:val="24"/>
          <w:szCs w:val="24"/>
          <w:lang w:eastAsia="ar-SA"/>
        </w:rPr>
      </w:pPr>
      <w:r w:rsidRPr="001B6E95">
        <w:rPr>
          <w:rFonts w:ascii="Arial" w:eastAsia="Times New Roman" w:hAnsi="Arial" w:cs="Arial"/>
          <w:sz w:val="24"/>
          <w:szCs w:val="24"/>
          <w:lang w:eastAsia="ar-SA"/>
        </w:rPr>
        <w:t>gwarantujący, że wymagania organizacyjne nie mają pierwszeństwa przed indywidualnymi potrzebami osoby z niej korzystającej.</w:t>
      </w:r>
    </w:p>
    <w:p w14:paraId="50E0EA3C" w14:textId="621B06F7" w:rsidR="00570F19" w:rsidRPr="00DA6DEC" w:rsidRDefault="00570F19" w:rsidP="00BC3877">
      <w:pPr>
        <w:pStyle w:val="Nagwek3"/>
      </w:pPr>
      <w:r w:rsidRPr="00DA6DEC">
        <w:t xml:space="preserve">Specyficzne koszty kwalifikowalne </w:t>
      </w:r>
    </w:p>
    <w:p w14:paraId="53CDEE95" w14:textId="59A0A66C" w:rsidR="00570F19" w:rsidRPr="00874C02" w:rsidRDefault="008A0C3A" w:rsidP="009520E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rPr>
        <w:t>….</w:t>
      </w:r>
      <w:r w:rsidR="00B82A35">
        <w:rPr>
          <w:rFonts w:ascii="Arial" w:hAnsi="Arial" w:cs="Arial"/>
          <w:sz w:val="24"/>
          <w:szCs w:val="24"/>
        </w:rPr>
        <w:t>.</w:t>
      </w:r>
    </w:p>
    <w:p w14:paraId="5C9DB9A4" w14:textId="2D56F9CA" w:rsidR="00AE61C3" w:rsidRPr="00DA6DEC" w:rsidRDefault="00AE61C3" w:rsidP="00BC3877">
      <w:pPr>
        <w:pStyle w:val="Nagwek3"/>
      </w:pPr>
      <w:r w:rsidRPr="00DA6DEC">
        <w:t>Specyficzne koszty niekwalifikowalne</w:t>
      </w:r>
      <w:r w:rsidR="00A427D8" w:rsidRPr="00DA6DEC">
        <w:t xml:space="preserve"> </w:t>
      </w:r>
    </w:p>
    <w:p w14:paraId="69BFCDF9" w14:textId="303B7818" w:rsidR="00506B81" w:rsidRDefault="00586D7A" w:rsidP="009520E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9A3179">
        <w:rPr>
          <w:rFonts w:ascii="Arial" w:hAnsi="Arial" w:cs="Arial"/>
          <w:sz w:val="24"/>
          <w:szCs w:val="24"/>
          <w:lang w:eastAsia="ar-SA"/>
        </w:rPr>
        <w:t>przygotowanie informacji do formularza wniosku o dofinansowanie oraz jego wypełnienie</w:t>
      </w:r>
      <w:r w:rsidR="00506B81">
        <w:rPr>
          <w:rFonts w:ascii="Arial" w:eastAsia="Times New Roman" w:hAnsi="Arial" w:cs="Arial"/>
          <w:sz w:val="24"/>
          <w:szCs w:val="24"/>
          <w:lang w:eastAsia="ar-SA"/>
        </w:rPr>
        <w:t>,</w:t>
      </w:r>
    </w:p>
    <w:p w14:paraId="1561EE93" w14:textId="537272D6" w:rsidR="00D53ACB" w:rsidRPr="00D53ACB" w:rsidRDefault="00D53ACB" w:rsidP="00A319C9">
      <w:pPr>
        <w:pStyle w:val="Akapitzlist"/>
        <w:numPr>
          <w:ilvl w:val="0"/>
          <w:numId w:val="35"/>
        </w:numPr>
        <w:suppressAutoHyphens/>
        <w:spacing w:after="120" w:line="276" w:lineRule="auto"/>
        <w:ind w:left="284" w:hanging="284"/>
        <w:contextualSpacing w:val="0"/>
        <w:rPr>
          <w:rFonts w:eastAsia="Times New Roman"/>
          <w:lang w:eastAsia="ar-SA"/>
        </w:rPr>
      </w:pPr>
      <w:r w:rsidRPr="00D53ACB">
        <w:rPr>
          <w:rFonts w:ascii="Arial" w:eastAsia="Times New Roman" w:hAnsi="Arial" w:cs="Arial"/>
          <w:sz w:val="24"/>
          <w:szCs w:val="24"/>
          <w:lang w:eastAsia="ar-SA"/>
        </w:rPr>
        <w:t xml:space="preserve">zgodnie z art. 7 ust. 1 pkt h) Rozporządzenia PARLAMENTU EUROPEJSKIEGO I RADY (UE) 2021/1058 z dnia 24 czerwca 2021 r. w sprawie Europejskiego Funduszu Rozwoju Regionalnego i Funduszu Spójności, wsparcia z EFRR </w:t>
      </w:r>
      <w:r w:rsidR="006D75BE">
        <w:rPr>
          <w:rFonts w:ascii="Arial" w:eastAsia="Times New Roman" w:hAnsi="Arial" w:cs="Arial"/>
          <w:sz w:val="24"/>
          <w:szCs w:val="24"/>
          <w:u w:val="single"/>
          <w:lang w:eastAsia="ar-SA"/>
        </w:rPr>
        <w:t>nie </w:t>
      </w:r>
      <w:r w:rsidRPr="00D53ACB">
        <w:rPr>
          <w:rFonts w:ascii="Arial" w:eastAsia="Times New Roman" w:hAnsi="Arial" w:cs="Arial"/>
          <w:sz w:val="24"/>
          <w:szCs w:val="24"/>
          <w:u w:val="single"/>
          <w:lang w:eastAsia="ar-SA"/>
        </w:rPr>
        <w:t>udziela się</w:t>
      </w:r>
      <w:r w:rsidRPr="00D53ACB">
        <w:rPr>
          <w:rFonts w:ascii="Arial" w:eastAsia="Times New Roman" w:hAnsi="Arial" w:cs="Arial"/>
          <w:sz w:val="24"/>
          <w:szCs w:val="24"/>
          <w:lang w:eastAsia="ar-SA"/>
        </w:rPr>
        <w:t xml:space="preserve"> na inwestycje w zakresie produkcji, przetwarzania, transportu, dystrybucji, magazynowania lub spalania paliw kopalnych, z wyjątkiem:</w:t>
      </w:r>
    </w:p>
    <w:p w14:paraId="3A7AEBA8" w14:textId="77777777" w:rsidR="00D53ACB" w:rsidRPr="00D53ACB" w:rsidRDefault="00D53ACB" w:rsidP="00A319C9">
      <w:pPr>
        <w:numPr>
          <w:ilvl w:val="0"/>
          <w:numId w:val="38"/>
        </w:numPr>
        <w:suppressAutoHyphens/>
        <w:spacing w:after="120" w:line="276" w:lineRule="auto"/>
        <w:ind w:left="993"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inwestycji w:</w:t>
      </w:r>
    </w:p>
    <w:p w14:paraId="18AF632D" w14:textId="77777777" w:rsidR="00D53ACB" w:rsidRPr="00D53ACB" w:rsidRDefault="00D53ACB" w:rsidP="00D53ACB">
      <w:pPr>
        <w:numPr>
          <w:ilvl w:val="0"/>
          <w:numId w:val="30"/>
        </w:numPr>
        <w:suppressAutoHyphens/>
        <w:spacing w:after="120" w:line="276" w:lineRule="auto"/>
        <w:ind w:left="1560" w:hanging="426"/>
        <w:contextualSpacing/>
        <w:rPr>
          <w:rFonts w:ascii="Arial" w:eastAsia="Times New Roman" w:hAnsi="Arial" w:cs="Arial"/>
          <w:sz w:val="24"/>
          <w:szCs w:val="24"/>
          <w:lang w:eastAsia="ar-SA"/>
        </w:rPr>
      </w:pPr>
      <w:r w:rsidRPr="00D53ACB">
        <w:rPr>
          <w:rFonts w:ascii="Arial" w:eastAsia="Times New Roman" w:hAnsi="Arial" w:cs="Arial"/>
          <w:sz w:val="24"/>
          <w:szCs w:val="24"/>
          <w:lang w:eastAsia="ar-SA"/>
        </w:rPr>
        <w:t>ekologicznie czyste pojazdy zdefiniowane w dyrektywie Parlamentu Europejskiego i Rady 2009/33/WE ( 5 ) do celów publicznych, oraz</w:t>
      </w:r>
    </w:p>
    <w:p w14:paraId="1B7C7258" w14:textId="77777777" w:rsidR="00D53ACB" w:rsidRPr="00D53ACB" w:rsidRDefault="00D53ACB" w:rsidP="00D53ACB">
      <w:pPr>
        <w:numPr>
          <w:ilvl w:val="0"/>
          <w:numId w:val="30"/>
        </w:numPr>
        <w:suppressAutoHyphens/>
        <w:spacing w:after="120" w:line="276" w:lineRule="auto"/>
        <w:ind w:left="1560" w:hanging="426"/>
        <w:rPr>
          <w:rFonts w:ascii="Arial" w:eastAsia="Times New Roman" w:hAnsi="Arial" w:cs="Arial"/>
          <w:sz w:val="24"/>
          <w:szCs w:val="24"/>
          <w:lang w:eastAsia="ar-SA"/>
        </w:rPr>
      </w:pPr>
      <w:r w:rsidRPr="00D53ACB">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7C3C73D8" w14:textId="340CEB85" w:rsidR="006915A0" w:rsidRDefault="00D53ACB" w:rsidP="007B6002">
      <w:pPr>
        <w:spacing w:after="120" w:line="276" w:lineRule="auto"/>
        <w:ind w:left="426"/>
        <w:rPr>
          <w:rFonts w:ascii="Arial" w:eastAsia="Calibri" w:hAnsi="Arial" w:cs="Arial"/>
          <w:b/>
          <w:sz w:val="24"/>
          <w:szCs w:val="24"/>
        </w:rPr>
      </w:pPr>
      <w:r w:rsidRPr="00D53ACB">
        <w:rPr>
          <w:rFonts w:ascii="Arial" w:eastAsia="Calibri" w:hAnsi="Arial" w:cs="Arial"/>
          <w:b/>
          <w:sz w:val="24"/>
          <w:szCs w:val="24"/>
        </w:rPr>
        <w:lastRenderedPageBreak/>
        <w:t>Mając na uwadze powyższe, inwestycje w pojazdy, maszyny, urządzenia zasilane paliwami kopalnymi</w:t>
      </w:r>
      <w:r w:rsidR="00153C3D">
        <w:rPr>
          <w:rFonts w:ascii="Arial" w:eastAsia="Calibri" w:hAnsi="Arial" w:cs="Arial"/>
          <w:b/>
          <w:sz w:val="24"/>
          <w:szCs w:val="24"/>
        </w:rPr>
        <w:t xml:space="preserve">, </w:t>
      </w:r>
      <w:r w:rsidRPr="00D53ACB">
        <w:rPr>
          <w:rFonts w:ascii="Arial" w:eastAsia="Calibri" w:hAnsi="Arial" w:cs="Arial"/>
          <w:b/>
          <w:sz w:val="24"/>
          <w:szCs w:val="24"/>
        </w:rPr>
        <w:t xml:space="preserve">uznane zostaną za niekwalifikowane, chyba że beneficjent uzasadni, że nie ma dla nich dostępnej alternatywnej technologii, w tym nie jest możliwe </w:t>
      </w:r>
      <w:r w:rsidRPr="00D53ACB">
        <w:rPr>
          <w:rFonts w:ascii="Arial" w:eastAsia="Calibri" w:hAnsi="Arial" w:cs="Arial"/>
          <w:b/>
          <w:color w:val="000000"/>
          <w:sz w:val="24"/>
          <w:szCs w:val="24"/>
        </w:rPr>
        <w:t>zastosowanie alternatywnych rozwiązań w ramach projektu</w:t>
      </w:r>
      <w:r w:rsidRPr="00D53ACB">
        <w:rPr>
          <w:rFonts w:ascii="Arial" w:eastAsia="Calibri" w:hAnsi="Arial" w:cs="Arial"/>
          <w:b/>
          <w:sz w:val="24"/>
          <w:szCs w:val="24"/>
        </w:rPr>
        <w:t>.</w:t>
      </w:r>
    </w:p>
    <w:p w14:paraId="6EB4255B" w14:textId="789E4CBE" w:rsidR="00EF0663" w:rsidRDefault="00EF0663" w:rsidP="007B6002">
      <w:pPr>
        <w:spacing w:after="120" w:line="276" w:lineRule="auto"/>
        <w:ind w:left="426"/>
        <w:rPr>
          <w:rFonts w:ascii="Arial" w:eastAsia="Calibri" w:hAnsi="Arial" w:cs="Arial"/>
          <w:b/>
          <w:sz w:val="24"/>
          <w:szCs w:val="24"/>
        </w:rPr>
      </w:pPr>
      <w:r w:rsidRPr="00EF0663">
        <w:rPr>
          <w:rFonts w:ascii="Arial" w:eastAsia="Calibri" w:hAnsi="Arial" w:cs="Arial"/>
          <w:b/>
          <w:sz w:val="24"/>
          <w:szCs w:val="24"/>
        </w:rPr>
        <w:t>Biorąc pod uwagę termin naboru i czas oceny wniosków – kotły i instalacje zasilane gazem ziemnym stanowią koszt niekwalifikowany. Powyższe wynika z zapisów Art. 7 ust. 4 Rozporządzenia PARLAMENTU EUROPEJSKIEGO I RADY (UE) 2021/1058 z dnia 24 czerwca 2021 r. w sprawie Europejskiego Funduszu Rozwoju Regionalnego i Funduszu Spójności, gdzie wskazano, że wsparcie dla operacji wskazanych ust. 1 lit. h) ppkt (i) oraz (ii) może zostać przyznane pod warunkiem, że zostaną wybrane do dofinansowania do 31 grudnia 2025 r.</w:t>
      </w:r>
    </w:p>
    <w:p w14:paraId="3FAD5568" w14:textId="77777777" w:rsidR="006265CC" w:rsidRDefault="00FE06A9" w:rsidP="00543144">
      <w:pPr>
        <w:pStyle w:val="Akapitzlist"/>
        <w:numPr>
          <w:ilvl w:val="0"/>
          <w:numId w:val="30"/>
        </w:numPr>
        <w:spacing w:after="120" w:line="276" w:lineRule="auto"/>
        <w:ind w:left="357" w:hanging="357"/>
        <w:contextualSpacing w:val="0"/>
        <w:rPr>
          <w:rFonts w:ascii="Arial" w:eastAsia="Calibri" w:hAnsi="Arial" w:cs="Arial"/>
          <w:color w:val="FF0000"/>
          <w:sz w:val="24"/>
          <w:szCs w:val="24"/>
        </w:rPr>
      </w:pPr>
      <w:r w:rsidRPr="00FE06A9">
        <w:rPr>
          <w:rFonts w:ascii="Arial" w:eastAsia="Calibri" w:hAnsi="Arial" w:cs="Arial"/>
          <w:b/>
          <w:color w:val="FF0000"/>
          <w:sz w:val="24"/>
          <w:szCs w:val="24"/>
        </w:rPr>
        <w:t xml:space="preserve">UWAGA: </w:t>
      </w:r>
      <w:r w:rsidRPr="00FE06A9">
        <w:rPr>
          <w:rFonts w:ascii="Arial" w:eastAsia="Calibri" w:hAnsi="Arial" w:cs="Arial"/>
          <w:color w:val="FF0000"/>
          <w:sz w:val="24"/>
          <w:szCs w:val="24"/>
        </w:rPr>
        <w:t xml:space="preserve">Zgodnie z zapisami Umowy Partnerstwa </w:t>
      </w:r>
      <w:r w:rsidR="006265CC">
        <w:rPr>
          <w:rFonts w:ascii="Arial" w:eastAsia="Calibri" w:hAnsi="Arial" w:cs="Arial"/>
          <w:color w:val="FF0000"/>
          <w:sz w:val="24"/>
          <w:szCs w:val="24"/>
        </w:rPr>
        <w:t>dla realizacji Polityki Spójności 2021-2027 w Polsce</w:t>
      </w:r>
      <w:r w:rsidR="006265CC">
        <w:rPr>
          <w:rStyle w:val="Odwoanieprzypisudolnego"/>
          <w:rFonts w:ascii="Arial" w:eastAsia="Calibri" w:hAnsi="Arial" w:cs="Arial"/>
          <w:color w:val="FF0000"/>
          <w:sz w:val="24"/>
          <w:szCs w:val="24"/>
        </w:rPr>
        <w:footnoteReference w:id="7"/>
      </w:r>
      <w:r w:rsidR="006265CC">
        <w:rPr>
          <w:rFonts w:ascii="Arial" w:eastAsia="Calibri" w:hAnsi="Arial" w:cs="Arial"/>
          <w:color w:val="FF0000"/>
          <w:sz w:val="24"/>
          <w:szCs w:val="24"/>
        </w:rPr>
        <w:t xml:space="preserve"> </w:t>
      </w:r>
      <w:r w:rsidRPr="00FE06A9">
        <w:rPr>
          <w:rFonts w:ascii="Arial" w:eastAsia="Calibri" w:hAnsi="Arial" w:cs="Arial"/>
          <w:color w:val="FF0000"/>
          <w:sz w:val="24"/>
          <w:szCs w:val="24"/>
        </w:rPr>
        <w:t>(str. 6</w:t>
      </w:r>
      <w:r w:rsidR="00367C8B">
        <w:rPr>
          <w:rFonts w:ascii="Arial" w:eastAsia="Calibri" w:hAnsi="Arial" w:cs="Arial"/>
          <w:color w:val="FF0000"/>
          <w:sz w:val="24"/>
          <w:szCs w:val="24"/>
        </w:rPr>
        <w:t>5</w:t>
      </w:r>
      <w:r w:rsidRPr="00FE06A9">
        <w:rPr>
          <w:rFonts w:ascii="Arial" w:eastAsia="Calibri" w:hAnsi="Arial" w:cs="Arial"/>
          <w:color w:val="FF0000"/>
          <w:sz w:val="24"/>
          <w:szCs w:val="24"/>
        </w:rPr>
        <w:t xml:space="preserve">) „W ramach EFRR </w:t>
      </w:r>
      <w:r w:rsidRPr="00FE06A9">
        <w:rPr>
          <w:rFonts w:ascii="Arial" w:eastAsia="Calibri" w:hAnsi="Arial" w:cs="Arial"/>
          <w:b/>
          <w:color w:val="FF0000"/>
          <w:sz w:val="24"/>
          <w:szCs w:val="24"/>
        </w:rPr>
        <w:t>inwestycje infrastrukturalne w placówki świadczące całodobową opiekę długoterminową (całodobowe usługi opiekuńcze) w instytucjonalnych formach są niedozwolone</w:t>
      </w:r>
      <w:r w:rsidRPr="00FE06A9">
        <w:rPr>
          <w:rFonts w:ascii="Arial" w:eastAsia="Calibri" w:hAnsi="Arial" w:cs="Arial"/>
          <w:color w:val="FF0000"/>
          <w:sz w:val="24"/>
          <w:szCs w:val="24"/>
        </w:rPr>
        <w:t xml:space="preserve">.” Jednocześnie </w:t>
      </w:r>
      <w:r w:rsidRPr="00FE06A9">
        <w:rPr>
          <w:rFonts w:ascii="Arial" w:eastAsia="Calibri" w:hAnsi="Arial" w:cs="Arial"/>
          <w:b/>
          <w:color w:val="FF0000"/>
          <w:sz w:val="24"/>
          <w:szCs w:val="24"/>
        </w:rPr>
        <w:t>wspierane są inwestycje w placówki zapewniające odbiorcom możliwość niezależnego życia i włączenia społecznego</w:t>
      </w:r>
      <w:r w:rsidRPr="00FE06A9">
        <w:rPr>
          <w:rFonts w:ascii="Arial" w:eastAsia="Calibri" w:hAnsi="Arial" w:cs="Arial"/>
          <w:color w:val="FF0000"/>
          <w:sz w:val="24"/>
          <w:szCs w:val="24"/>
        </w:rPr>
        <w:t xml:space="preserve"> zgodnie z artykułem 19 Konwencji o Prawach Osób Niepełnosprawnych, Komentarzem ogólnym nr 5 do tej Konwencji i Uwagami Podsumowującymi Komitetu do spraw Praw Osób Niepełnosprawnych ONZ.</w:t>
      </w:r>
      <w:r>
        <w:rPr>
          <w:rFonts w:ascii="Arial" w:eastAsia="Calibri" w:hAnsi="Arial" w:cs="Arial"/>
          <w:color w:val="FF0000"/>
          <w:sz w:val="24"/>
          <w:szCs w:val="24"/>
        </w:rPr>
        <w:t xml:space="preserve"> </w:t>
      </w:r>
    </w:p>
    <w:p w14:paraId="6396DF12" w14:textId="65C6EED8" w:rsidR="00FE06A9" w:rsidRDefault="00367C8B" w:rsidP="009C5F02">
      <w:pPr>
        <w:spacing w:after="120" w:line="276" w:lineRule="auto"/>
        <w:ind w:left="284"/>
        <w:rPr>
          <w:rFonts w:ascii="Arial" w:eastAsia="Calibri" w:hAnsi="Arial" w:cs="Arial"/>
          <w:b/>
          <w:color w:val="FF0000"/>
          <w:sz w:val="24"/>
          <w:szCs w:val="24"/>
        </w:rPr>
      </w:pPr>
      <w:r>
        <w:rPr>
          <w:rFonts w:ascii="Arial" w:eastAsia="Calibri" w:hAnsi="Arial" w:cs="Arial"/>
          <w:color w:val="FF0000"/>
          <w:sz w:val="24"/>
          <w:szCs w:val="24"/>
        </w:rPr>
        <w:t>Ponadto,</w:t>
      </w:r>
      <w:r w:rsidR="00FE06A9">
        <w:rPr>
          <w:rFonts w:ascii="Arial" w:eastAsia="Calibri" w:hAnsi="Arial" w:cs="Arial"/>
          <w:color w:val="FF0000"/>
          <w:sz w:val="24"/>
          <w:szCs w:val="24"/>
        </w:rPr>
        <w:t xml:space="preserve"> za koszt</w:t>
      </w:r>
      <w:r w:rsidR="006265CC">
        <w:rPr>
          <w:rFonts w:ascii="Arial" w:eastAsia="Calibri" w:hAnsi="Arial" w:cs="Arial"/>
          <w:color w:val="FF0000"/>
          <w:sz w:val="24"/>
          <w:szCs w:val="24"/>
        </w:rPr>
        <w:t>y</w:t>
      </w:r>
      <w:r w:rsidR="00FE06A9">
        <w:rPr>
          <w:rFonts w:ascii="Arial" w:eastAsia="Calibri" w:hAnsi="Arial" w:cs="Arial"/>
          <w:color w:val="FF0000"/>
          <w:sz w:val="24"/>
          <w:szCs w:val="24"/>
        </w:rPr>
        <w:t xml:space="preserve"> niekwalifikowany </w:t>
      </w:r>
      <w:r w:rsidR="006265CC">
        <w:rPr>
          <w:rFonts w:ascii="Arial" w:eastAsia="Calibri" w:hAnsi="Arial" w:cs="Arial"/>
          <w:color w:val="FF0000"/>
          <w:sz w:val="24"/>
          <w:szCs w:val="24"/>
        </w:rPr>
        <w:t>uznane zostanie</w:t>
      </w:r>
      <w:r w:rsidR="00FE06A9">
        <w:rPr>
          <w:rFonts w:ascii="Arial" w:eastAsia="Calibri" w:hAnsi="Arial" w:cs="Arial"/>
          <w:color w:val="FF0000"/>
          <w:sz w:val="24"/>
          <w:szCs w:val="24"/>
        </w:rPr>
        <w:t xml:space="preserve"> wsparcie</w:t>
      </w:r>
      <w:r w:rsidR="00D728E4" w:rsidRPr="00D728E4">
        <w:t xml:space="preserve"> </w:t>
      </w:r>
      <w:r w:rsidR="00D728E4" w:rsidRPr="00D728E4">
        <w:rPr>
          <w:rFonts w:ascii="Arial" w:eastAsia="Calibri" w:hAnsi="Arial" w:cs="Arial"/>
          <w:color w:val="FF0000"/>
          <w:sz w:val="24"/>
          <w:szCs w:val="24"/>
        </w:rPr>
        <w:t>w zakresie infrastruktury i wyposażenia</w:t>
      </w:r>
      <w:r w:rsidR="00FE06A9">
        <w:rPr>
          <w:rFonts w:ascii="Arial" w:eastAsia="Calibri" w:hAnsi="Arial" w:cs="Arial"/>
          <w:color w:val="FF0000"/>
          <w:sz w:val="24"/>
          <w:szCs w:val="24"/>
        </w:rPr>
        <w:t xml:space="preserve"> </w:t>
      </w:r>
      <w:r>
        <w:rPr>
          <w:rFonts w:ascii="Arial" w:eastAsia="Calibri" w:hAnsi="Arial" w:cs="Arial"/>
          <w:color w:val="FF0000"/>
          <w:sz w:val="24"/>
          <w:szCs w:val="24"/>
        </w:rPr>
        <w:t>szkół specjalnych</w:t>
      </w:r>
      <w:r w:rsidRPr="00367C8B">
        <w:rPr>
          <w:rFonts w:ascii="Arial" w:eastAsia="Calibri" w:hAnsi="Arial" w:cs="Arial"/>
          <w:color w:val="FF0000"/>
          <w:sz w:val="24"/>
          <w:szCs w:val="24"/>
        </w:rPr>
        <w:t xml:space="preserve"> i inn</w:t>
      </w:r>
      <w:r>
        <w:rPr>
          <w:rFonts w:ascii="Arial" w:eastAsia="Calibri" w:hAnsi="Arial" w:cs="Arial"/>
          <w:color w:val="FF0000"/>
          <w:sz w:val="24"/>
          <w:szCs w:val="24"/>
        </w:rPr>
        <w:t>ych placówek</w:t>
      </w:r>
      <w:r w:rsidRPr="00367C8B">
        <w:rPr>
          <w:rFonts w:ascii="Arial" w:eastAsia="Calibri" w:hAnsi="Arial" w:cs="Arial"/>
          <w:color w:val="FF0000"/>
          <w:sz w:val="24"/>
          <w:szCs w:val="24"/>
        </w:rPr>
        <w:t>, które prowadzą do segregacji lub utrzymania segregacji jakiejkolwiek</w:t>
      </w:r>
      <w:r>
        <w:rPr>
          <w:rFonts w:ascii="Arial" w:eastAsia="Calibri" w:hAnsi="Arial" w:cs="Arial"/>
          <w:color w:val="FF0000"/>
          <w:sz w:val="24"/>
          <w:szCs w:val="24"/>
        </w:rPr>
        <w:t xml:space="preserve"> </w:t>
      </w:r>
      <w:r w:rsidRPr="00367C8B">
        <w:rPr>
          <w:rFonts w:ascii="Arial" w:eastAsia="Calibri" w:hAnsi="Arial" w:cs="Arial"/>
          <w:color w:val="FF0000"/>
          <w:sz w:val="24"/>
          <w:szCs w:val="24"/>
        </w:rPr>
        <w:t xml:space="preserve">grupy defaworyzowanej i/lub zagrożonej wykluczeniem społecznym </w:t>
      </w:r>
      <w:r>
        <w:rPr>
          <w:rFonts w:ascii="Arial" w:eastAsia="Calibri" w:hAnsi="Arial" w:cs="Arial"/>
          <w:color w:val="FF0000"/>
          <w:sz w:val="24"/>
          <w:szCs w:val="24"/>
        </w:rPr>
        <w:t>(</w:t>
      </w:r>
      <w:r w:rsidRPr="00FE06A9">
        <w:rPr>
          <w:rFonts w:ascii="Arial" w:eastAsia="Calibri" w:hAnsi="Arial" w:cs="Arial"/>
          <w:color w:val="FF0000"/>
          <w:sz w:val="24"/>
          <w:szCs w:val="24"/>
        </w:rPr>
        <w:t>Umow</w:t>
      </w:r>
      <w:r>
        <w:rPr>
          <w:rFonts w:ascii="Arial" w:eastAsia="Calibri" w:hAnsi="Arial" w:cs="Arial"/>
          <w:color w:val="FF0000"/>
          <w:sz w:val="24"/>
          <w:szCs w:val="24"/>
        </w:rPr>
        <w:t>a</w:t>
      </w:r>
      <w:r w:rsidRPr="00FE06A9">
        <w:rPr>
          <w:rFonts w:ascii="Arial" w:eastAsia="Calibri" w:hAnsi="Arial" w:cs="Arial"/>
          <w:color w:val="FF0000"/>
          <w:sz w:val="24"/>
          <w:szCs w:val="24"/>
        </w:rPr>
        <w:t xml:space="preserve"> Partnerstwa</w:t>
      </w:r>
      <w:r>
        <w:rPr>
          <w:rFonts w:ascii="Arial" w:eastAsia="Calibri" w:hAnsi="Arial" w:cs="Arial"/>
          <w:color w:val="FF0000"/>
          <w:sz w:val="24"/>
          <w:szCs w:val="24"/>
        </w:rPr>
        <w:t xml:space="preserve">, </w:t>
      </w:r>
      <w:r w:rsidRPr="00FE06A9">
        <w:rPr>
          <w:rFonts w:ascii="Arial" w:eastAsia="Calibri" w:hAnsi="Arial" w:cs="Arial"/>
          <w:color w:val="FF0000"/>
          <w:sz w:val="24"/>
          <w:szCs w:val="24"/>
        </w:rPr>
        <w:t xml:space="preserve">str. </w:t>
      </w:r>
      <w:r>
        <w:rPr>
          <w:rFonts w:ascii="Arial" w:eastAsia="Calibri" w:hAnsi="Arial" w:cs="Arial"/>
          <w:color w:val="FF0000"/>
          <w:sz w:val="24"/>
          <w:szCs w:val="24"/>
        </w:rPr>
        <w:t>53</w:t>
      </w:r>
      <w:r w:rsidRPr="00FE06A9">
        <w:rPr>
          <w:rFonts w:ascii="Arial" w:eastAsia="Calibri" w:hAnsi="Arial" w:cs="Arial"/>
          <w:color w:val="FF0000"/>
          <w:sz w:val="24"/>
          <w:szCs w:val="24"/>
        </w:rPr>
        <w:t>)</w:t>
      </w:r>
      <w:r>
        <w:rPr>
          <w:rFonts w:ascii="Arial" w:eastAsia="Calibri" w:hAnsi="Arial" w:cs="Arial"/>
          <w:color w:val="FF0000"/>
          <w:sz w:val="24"/>
          <w:szCs w:val="24"/>
        </w:rPr>
        <w:t>. Ocena w powyższych zakresach będzie prowadzona w ramach oceny formalnej oraz kryterium oceny merytorycznej „</w:t>
      </w:r>
      <w:r w:rsidRPr="00367C8B">
        <w:rPr>
          <w:rFonts w:ascii="Arial" w:eastAsia="Calibri" w:hAnsi="Arial" w:cs="Arial"/>
          <w:b/>
          <w:color w:val="FF0000"/>
          <w:sz w:val="24"/>
          <w:szCs w:val="24"/>
        </w:rPr>
        <w:t>Zgodność projektu z Konwencją o Prawach Osób Niepełnosprawnych</w:t>
      </w:r>
      <w:r>
        <w:rPr>
          <w:rFonts w:ascii="Arial" w:eastAsia="Calibri" w:hAnsi="Arial" w:cs="Arial"/>
          <w:b/>
          <w:color w:val="FF0000"/>
          <w:sz w:val="24"/>
          <w:szCs w:val="24"/>
        </w:rPr>
        <w:t>”.</w:t>
      </w:r>
    </w:p>
    <w:p w14:paraId="1209F0AB" w14:textId="77777777" w:rsidR="0019359A" w:rsidRDefault="0019359A" w:rsidP="0019359A">
      <w:pPr>
        <w:rPr>
          <w:rFonts w:ascii="Arial" w:eastAsia="Times New Roman" w:hAnsi="Arial" w:cs="Arial"/>
          <w:b/>
          <w:sz w:val="24"/>
          <w:szCs w:val="24"/>
          <w:lang w:eastAsia="ar-SA"/>
        </w:rPr>
      </w:pPr>
    </w:p>
    <w:p w14:paraId="1BC5D2F3" w14:textId="368A3DFA" w:rsidR="0019359A" w:rsidRPr="00EF0663" w:rsidRDefault="0019359A" w:rsidP="0054314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19359A">
        <w:rPr>
          <w:rFonts w:ascii="Arial" w:eastAsia="Times New Roman" w:hAnsi="Arial" w:cs="Arial"/>
          <w:b/>
          <w:sz w:val="24"/>
          <w:szCs w:val="24"/>
          <w:lang w:eastAsia="ar-SA"/>
        </w:rPr>
        <w:t>Projekty nie mogą zakładać płatności od ostatecznych odbiorców</w:t>
      </w:r>
      <w:r>
        <w:rPr>
          <w:rFonts w:ascii="Arial" w:eastAsia="Times New Roman" w:hAnsi="Arial" w:cs="Arial"/>
          <w:sz w:val="24"/>
          <w:szCs w:val="24"/>
          <w:lang w:eastAsia="ar-SA"/>
        </w:rPr>
        <w:t xml:space="preserve"> – np. za przekazanie magazynu energii dla mieszkańca (np. partycypacja w kosztach zakupu). </w:t>
      </w:r>
      <w:r w:rsidRPr="00EF0663">
        <w:rPr>
          <w:rFonts w:ascii="Arial" w:eastAsia="Times New Roman" w:hAnsi="Arial" w:cs="Arial"/>
          <w:sz w:val="24"/>
          <w:szCs w:val="24"/>
          <w:lang w:eastAsia="ar-SA"/>
        </w:rPr>
        <w:t>W przeciwnym wypadku, ta część kosztów uznana zostanie za wydatek niekwalifikowany!</w:t>
      </w:r>
    </w:p>
    <w:p w14:paraId="5EA5AE0F" w14:textId="73681D64" w:rsidR="0055583A" w:rsidRPr="0055583A" w:rsidRDefault="0055583A" w:rsidP="00BC3877">
      <w:pPr>
        <w:pStyle w:val="Nagwek3"/>
      </w:pPr>
      <w:r w:rsidRPr="0055583A">
        <w:t>Koszty pośrednie</w:t>
      </w:r>
    </w:p>
    <w:p w14:paraId="23E37861" w14:textId="17A1109E" w:rsidR="0055583A" w:rsidRPr="0055583A" w:rsidRDefault="00A319C9" w:rsidP="009520E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3</w:t>
      </w:r>
      <w:r w:rsidR="0055583A" w:rsidRPr="006915A0">
        <w:rPr>
          <w:rFonts w:ascii="Arial" w:eastAsia="Times New Roman" w:hAnsi="Arial" w:cs="Arial"/>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C3877">
      <w:pPr>
        <w:pStyle w:val="Nagwek3"/>
      </w:pPr>
      <w:r w:rsidRPr="0055583A">
        <w:lastRenderedPageBreak/>
        <w:t>Metody uproszczone</w:t>
      </w:r>
    </w:p>
    <w:p w14:paraId="5982AA5A" w14:textId="112EDAF5" w:rsidR="0055583A" w:rsidRPr="0055583A" w:rsidRDefault="0055583A" w:rsidP="009520EB">
      <w:pPr>
        <w:pStyle w:val="Akapitzlist"/>
        <w:numPr>
          <w:ilvl w:val="0"/>
          <w:numId w:val="26"/>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9520EB">
      <w:pPr>
        <w:spacing w:after="120" w:line="276" w:lineRule="auto"/>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3B7AC310" w:rsidR="004D3F1F" w:rsidRPr="00245874" w:rsidRDefault="004D3F1F" w:rsidP="00BC3877">
      <w:pPr>
        <w:pStyle w:val="Nagwek3"/>
      </w:pPr>
      <w:r w:rsidRPr="004D3F1F">
        <w:t>Pomoc publiczna</w:t>
      </w:r>
    </w:p>
    <w:p w14:paraId="5937947F" w14:textId="7CCC7256" w:rsidR="00BC3877" w:rsidRDefault="005C4058" w:rsidP="00A319C9">
      <w:pPr>
        <w:numPr>
          <w:ilvl w:val="3"/>
          <w:numId w:val="31"/>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Ubiegając się o przyznanie pomocy publ</w:t>
      </w:r>
      <w:r w:rsidR="00A319C9">
        <w:rPr>
          <w:rFonts w:ascii="Arial" w:eastAsia="Times New Roman" w:hAnsi="Arial" w:cs="Arial"/>
          <w:sz w:val="24"/>
          <w:szCs w:val="24"/>
          <w:lang w:eastAsia="pl-PL"/>
        </w:rPr>
        <w:t>icznej w ramach Działania 2.21</w:t>
      </w:r>
      <w:r w:rsidRPr="005C4058">
        <w:rPr>
          <w:rFonts w:ascii="Arial" w:eastAsia="Times New Roman" w:hAnsi="Arial" w:cs="Arial"/>
          <w:sz w:val="24"/>
          <w:szCs w:val="24"/>
          <w:lang w:eastAsia="pl-PL"/>
        </w:rPr>
        <w:t xml:space="preserve">, właściwymi przepisami prawa </w:t>
      </w:r>
      <w:r w:rsidR="00A319C9">
        <w:rPr>
          <w:rFonts w:ascii="Arial" w:eastAsia="Times New Roman" w:hAnsi="Arial" w:cs="Arial"/>
          <w:sz w:val="24"/>
          <w:szCs w:val="24"/>
          <w:lang w:eastAsia="pl-PL"/>
        </w:rPr>
        <w:t>są:</w:t>
      </w:r>
      <w:r w:rsidRPr="005C4058">
        <w:rPr>
          <w:rFonts w:ascii="Arial" w:eastAsia="Times New Roman" w:hAnsi="Arial" w:cs="Arial"/>
          <w:sz w:val="24"/>
          <w:szCs w:val="24"/>
          <w:lang w:eastAsia="pl-PL"/>
        </w:rPr>
        <w:t xml:space="preserve"> </w:t>
      </w:r>
    </w:p>
    <w:p w14:paraId="149EEE14" w14:textId="539D6BA6" w:rsidR="00BC3877" w:rsidRPr="00BC3877" w:rsidRDefault="00BC3877" w:rsidP="00A319C9">
      <w:pPr>
        <w:pStyle w:val="Akapitzlist"/>
        <w:numPr>
          <w:ilvl w:val="0"/>
          <w:numId w:val="37"/>
        </w:numPr>
        <w:suppressAutoHyphens/>
        <w:spacing w:after="120" w:line="276" w:lineRule="auto"/>
        <w:rPr>
          <w:rFonts w:ascii="Arial" w:eastAsia="Times New Roman" w:hAnsi="Arial" w:cs="Arial"/>
          <w:sz w:val="24"/>
          <w:szCs w:val="24"/>
          <w:lang w:eastAsia="pl-PL"/>
        </w:rPr>
      </w:pPr>
      <w:r w:rsidRPr="00BC3877">
        <w:rPr>
          <w:rFonts w:ascii="Arial" w:eastAsia="Times New Roman" w:hAnsi="Arial" w:cs="Arial"/>
          <w:sz w:val="24"/>
          <w:szCs w:val="24"/>
          <w:lang w:eastAsia="pl-PL"/>
        </w:rPr>
        <w:t>Rozporządzenie Ministra Funduszy i Polityki Regionalnej z dnia 17 kwietnia 2024 r. w sprawie udzielania pomocy de minimis w ramach regionalnych programów na lata 2021-2027</w:t>
      </w:r>
    </w:p>
    <w:p w14:paraId="4270D4C2" w14:textId="3FBC8D9E" w:rsidR="005C4058" w:rsidRPr="00BC3877" w:rsidRDefault="00A319C9" w:rsidP="00A319C9">
      <w:pPr>
        <w:pStyle w:val="Akapitzlist"/>
        <w:numPr>
          <w:ilvl w:val="0"/>
          <w:numId w:val="37"/>
        </w:numPr>
        <w:suppressAutoHyphens/>
        <w:spacing w:after="120" w:line="276" w:lineRule="auto"/>
        <w:rPr>
          <w:rFonts w:ascii="Arial" w:eastAsia="Times New Roman" w:hAnsi="Arial" w:cs="Arial"/>
          <w:sz w:val="24"/>
          <w:szCs w:val="24"/>
          <w:lang w:eastAsia="pl-PL"/>
        </w:rPr>
      </w:pPr>
      <w:r w:rsidRPr="00315CAB">
        <w:rPr>
          <w:rFonts w:ascii="Arial" w:hAnsi="Arial" w:cs="Arial"/>
          <w:sz w:val="24"/>
          <w:szCs w:val="24"/>
        </w:rPr>
        <w:t xml:space="preserve">Rozporządzenie Ministra Funduszy i Polityki Regionalnej z </w:t>
      </w:r>
      <w:r>
        <w:rPr>
          <w:rFonts w:ascii="Arial" w:hAnsi="Arial" w:cs="Arial"/>
          <w:sz w:val="24"/>
          <w:szCs w:val="24"/>
        </w:rPr>
        <w:t>dnia 11 grudnia 2022 </w:t>
      </w:r>
      <w:r w:rsidRPr="00315CAB">
        <w:rPr>
          <w:rFonts w:ascii="Arial" w:hAnsi="Arial" w:cs="Arial"/>
          <w:sz w:val="24"/>
          <w:szCs w:val="24"/>
        </w:rPr>
        <w:t>r. w sprawie udzielania pomocy inwestycyjnej na propagowanie energii ze źródeł odnawialnych, propagowanie wodoru odnawialnego i wysokosprawnej kogeneracji w ramach regionalnych programów na lata 2021‒2027</w:t>
      </w:r>
      <w:r w:rsidR="005C4058" w:rsidRPr="00BC3877">
        <w:rPr>
          <w:rFonts w:ascii="Arial" w:eastAsia="Times New Roman" w:hAnsi="Arial" w:cs="Arial"/>
          <w:sz w:val="24"/>
          <w:szCs w:val="24"/>
          <w:lang w:eastAsia="pl-PL"/>
        </w:rPr>
        <w:t xml:space="preserve">. </w:t>
      </w:r>
    </w:p>
    <w:p w14:paraId="7D9EE30D" w14:textId="51A2D99C" w:rsidR="005C4058" w:rsidRPr="005C4058" w:rsidRDefault="005C4058" w:rsidP="00A319C9">
      <w:pPr>
        <w:numPr>
          <w:ilvl w:val="3"/>
          <w:numId w:val="31"/>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publiczna wynikająca z powyższ</w:t>
      </w:r>
      <w:r w:rsidR="00BC3877">
        <w:rPr>
          <w:rFonts w:ascii="Arial" w:eastAsia="Times New Roman" w:hAnsi="Arial" w:cs="Arial"/>
          <w:sz w:val="24"/>
          <w:szCs w:val="24"/>
          <w:lang w:eastAsia="pl-PL"/>
        </w:rPr>
        <w:t>ych Rozporządzeń</w:t>
      </w:r>
      <w:r w:rsidRPr="005C4058">
        <w:rPr>
          <w:rFonts w:ascii="Arial" w:eastAsia="Times New Roman" w:hAnsi="Arial" w:cs="Arial"/>
          <w:sz w:val="24"/>
          <w:szCs w:val="24"/>
          <w:lang w:eastAsia="pl-PL"/>
        </w:rPr>
        <w:t xml:space="preserve"> może zostać przyzna</w:t>
      </w:r>
      <w:r w:rsidR="00BC3877">
        <w:rPr>
          <w:rFonts w:ascii="Arial" w:eastAsia="Times New Roman" w:hAnsi="Arial" w:cs="Arial"/>
          <w:sz w:val="24"/>
          <w:szCs w:val="24"/>
          <w:lang w:eastAsia="pl-PL"/>
        </w:rPr>
        <w:t>na na zakres i w wysokości w nich określonych</w:t>
      </w:r>
      <w:r w:rsidRPr="005C4058">
        <w:rPr>
          <w:rFonts w:ascii="Arial" w:eastAsia="Times New Roman" w:hAnsi="Arial" w:cs="Arial"/>
          <w:sz w:val="24"/>
          <w:szCs w:val="24"/>
          <w:lang w:eastAsia="pl-PL"/>
        </w:rPr>
        <w:t xml:space="preserve">. </w:t>
      </w:r>
    </w:p>
    <w:p w14:paraId="76B0591C" w14:textId="2E5CB771" w:rsidR="005C4058" w:rsidRPr="00A52814" w:rsidRDefault="005C4058" w:rsidP="00A319C9">
      <w:pPr>
        <w:numPr>
          <w:ilvl w:val="3"/>
          <w:numId w:val="31"/>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247ACC">
      <w:pPr>
        <w:pStyle w:val="Nagwek2"/>
      </w:pPr>
      <w:r w:rsidRPr="000D510E">
        <w:t>Informacje specyficzne</w:t>
      </w:r>
    </w:p>
    <w:p w14:paraId="03832A36" w14:textId="77777777" w:rsidR="00B64BAF" w:rsidRDefault="00AD35D0" w:rsidP="00247ACC">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19C9" w:rsidRPr="003D5A4C" w14:paraId="1D53BB16" w14:textId="77777777" w:rsidTr="00657183">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B6262" w14:textId="77777777" w:rsidR="00A319C9" w:rsidRPr="003D5A4C" w:rsidRDefault="00A319C9" w:rsidP="00657183">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5A2A217E" w14:textId="77777777" w:rsidR="00A319C9" w:rsidRPr="003D5A4C" w:rsidRDefault="00A319C9" w:rsidP="00657183">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A319C9" w14:paraId="384C0FBF" w14:textId="77777777" w:rsidTr="00657183">
        <w:tc>
          <w:tcPr>
            <w:tcW w:w="9060" w:type="dxa"/>
            <w:tcBorders>
              <w:top w:val="single" w:sz="4" w:space="0" w:color="auto"/>
              <w:left w:val="single" w:sz="4" w:space="0" w:color="auto"/>
              <w:bottom w:val="single" w:sz="4" w:space="0" w:color="auto"/>
              <w:right w:val="single" w:sz="4" w:space="0" w:color="auto"/>
            </w:tcBorders>
          </w:tcPr>
          <w:p w14:paraId="303D0C71" w14:textId="77777777" w:rsidR="00A319C9" w:rsidRPr="00924B3C" w:rsidRDefault="00A319C9" w:rsidP="00657183">
            <w:pPr>
              <w:spacing w:after="120" w:line="276" w:lineRule="auto"/>
              <w:rPr>
                <w:rFonts w:ascii="Arial" w:eastAsia="Times New Roman" w:hAnsi="Arial" w:cs="Arial"/>
                <w:b/>
                <w:iCs/>
                <w:sz w:val="24"/>
                <w:szCs w:val="24"/>
                <w:lang w:eastAsia="ar-SA"/>
              </w:rPr>
            </w:pPr>
            <w:r w:rsidRPr="00924B3C">
              <w:rPr>
                <w:rFonts w:ascii="Arial" w:eastAsia="Times New Roman" w:hAnsi="Arial" w:cs="Arial"/>
                <w:b/>
                <w:iCs/>
                <w:sz w:val="24"/>
                <w:szCs w:val="24"/>
                <w:lang w:eastAsia="ar-SA"/>
              </w:rPr>
              <w:t>B.1.4 Opis projektu</w:t>
            </w:r>
            <w:r>
              <w:rPr>
                <w:rFonts w:ascii="Arial" w:eastAsia="Times New Roman" w:hAnsi="Arial" w:cs="Arial"/>
                <w:b/>
                <w:iCs/>
                <w:sz w:val="24"/>
                <w:szCs w:val="24"/>
                <w:lang w:eastAsia="ar-SA"/>
              </w:rPr>
              <w:t>/ U Informacje specyficzne</w:t>
            </w:r>
            <w:r w:rsidRPr="00924B3C">
              <w:rPr>
                <w:rFonts w:ascii="Arial" w:eastAsia="Times New Roman" w:hAnsi="Arial" w:cs="Arial"/>
                <w:b/>
                <w:iCs/>
                <w:sz w:val="24"/>
                <w:szCs w:val="24"/>
                <w:lang w:eastAsia="ar-SA"/>
              </w:rPr>
              <w:t>:</w:t>
            </w:r>
          </w:p>
          <w:p w14:paraId="31130F89" w14:textId="77777777" w:rsidR="00A319C9" w:rsidRDefault="00A319C9" w:rsidP="00657183">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 informacji dotyczących:</w:t>
            </w:r>
          </w:p>
          <w:p w14:paraId="4347D55C" w14:textId="77777777" w:rsidR="00A319C9" w:rsidRPr="00A02995" w:rsidRDefault="00A319C9" w:rsidP="00A319C9">
            <w:pPr>
              <w:pStyle w:val="Akapitzlist"/>
              <w:numPr>
                <w:ilvl w:val="0"/>
                <w:numId w:val="45"/>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magazynu energii (cieplnej/elektrycznej);</w:t>
            </w:r>
          </w:p>
          <w:p w14:paraId="35D0F50D" w14:textId="77777777" w:rsidR="00A319C9" w:rsidRPr="00151DAA" w:rsidRDefault="00A319C9" w:rsidP="00A319C9">
            <w:pPr>
              <w:pStyle w:val="Akapitzlist"/>
              <w:numPr>
                <w:ilvl w:val="0"/>
                <w:numId w:val="45"/>
              </w:numPr>
              <w:spacing w:line="360" w:lineRule="auto"/>
              <w:rPr>
                <w:rFonts w:ascii="Times New Roman" w:hAnsi="Times New Roman" w:cs="Times New Roman"/>
                <w:sz w:val="24"/>
                <w:szCs w:val="24"/>
                <w:lang w:eastAsia="pl-PL"/>
              </w:rPr>
            </w:pPr>
            <w:r w:rsidRPr="00AA1D1E">
              <w:rPr>
                <w:rFonts w:ascii="Arial" w:eastAsia="Times New Roman" w:hAnsi="Arial" w:cs="Arial"/>
                <w:b/>
                <w:iCs/>
                <w:sz w:val="24"/>
                <w:szCs w:val="24"/>
                <w:lang w:eastAsia="ar-SA"/>
              </w:rPr>
              <w:t>moc</w:t>
            </w:r>
            <w:r>
              <w:rPr>
                <w:rFonts w:ascii="Arial" w:eastAsia="Times New Roman" w:hAnsi="Arial" w:cs="Arial"/>
                <w:b/>
                <w:iCs/>
                <w:sz w:val="24"/>
                <w:szCs w:val="24"/>
                <w:lang w:eastAsia="ar-SA"/>
              </w:rPr>
              <w:t>y</w:t>
            </w:r>
            <w:r w:rsidRPr="00AA1D1E">
              <w:rPr>
                <w:rFonts w:ascii="Arial" w:eastAsia="Times New Roman" w:hAnsi="Arial" w:cs="Arial"/>
                <w:b/>
                <w:iCs/>
                <w:sz w:val="24"/>
                <w:szCs w:val="24"/>
                <w:lang w:eastAsia="ar-SA"/>
              </w:rPr>
              <w:t xml:space="preserve"> magazynu</w:t>
            </w:r>
            <w:r>
              <w:rPr>
                <w:rFonts w:ascii="Arial" w:eastAsia="Times New Roman" w:hAnsi="Arial" w:cs="Arial"/>
                <w:b/>
                <w:iCs/>
                <w:sz w:val="24"/>
                <w:szCs w:val="24"/>
                <w:lang w:eastAsia="ar-SA"/>
              </w:rPr>
              <w:t>, który zostanie zainstalowany w wyniku realizacji projektu.</w:t>
            </w:r>
            <w:r w:rsidRPr="00AA1D1E">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Należy mieć </w:t>
            </w:r>
            <w:r w:rsidRPr="00AA1D1E">
              <w:rPr>
                <w:rFonts w:ascii="Arial" w:eastAsia="Times New Roman" w:hAnsi="Arial" w:cs="Arial"/>
                <w:iCs/>
                <w:sz w:val="24"/>
                <w:szCs w:val="24"/>
                <w:lang w:eastAsia="ar-SA"/>
              </w:rPr>
              <w:t>na uwadze,</w:t>
            </w:r>
            <w:r w:rsidRPr="00D71872">
              <w:rPr>
                <w:rFonts w:ascii="Arial" w:eastAsia="Times New Roman" w:hAnsi="Arial" w:cs="Arial"/>
                <w:b/>
                <w:iCs/>
                <w:sz w:val="24"/>
                <w:szCs w:val="24"/>
                <w:lang w:eastAsia="ar-SA"/>
              </w:rPr>
              <w:t xml:space="preserve"> </w:t>
            </w:r>
            <w:r w:rsidRPr="001B17B1">
              <w:rPr>
                <w:rFonts w:ascii="Arial" w:eastAsia="Times New Roman" w:hAnsi="Arial" w:cs="Arial"/>
                <w:iCs/>
                <w:sz w:val="24"/>
                <w:szCs w:val="24"/>
                <w:lang w:eastAsia="ar-SA"/>
              </w:rPr>
              <w:t>że</w:t>
            </w:r>
            <w:r>
              <w:rPr>
                <w:rFonts w:ascii="Arial" w:eastAsia="Times New Roman" w:hAnsi="Arial" w:cs="Arial"/>
                <w:b/>
                <w:iCs/>
                <w:sz w:val="24"/>
                <w:szCs w:val="24"/>
                <w:lang w:eastAsia="ar-SA"/>
              </w:rPr>
              <w:t xml:space="preserve"> </w:t>
            </w:r>
            <w:r w:rsidRPr="00D71872">
              <w:rPr>
                <w:rFonts w:ascii="Arial" w:eastAsia="Times New Roman" w:hAnsi="Arial" w:cs="Arial"/>
                <w:iCs/>
                <w:sz w:val="24"/>
                <w:szCs w:val="24"/>
                <w:lang w:eastAsia="ar-SA"/>
              </w:rPr>
              <w:t xml:space="preserve">moc </w:t>
            </w:r>
            <w:r>
              <w:rPr>
                <w:rFonts w:ascii="Arial" w:eastAsia="Times New Roman" w:hAnsi="Arial" w:cs="Arial"/>
                <w:iCs/>
                <w:sz w:val="24"/>
                <w:szCs w:val="24"/>
                <w:lang w:eastAsia="ar-SA"/>
              </w:rPr>
              <w:t xml:space="preserve">pojedynczego </w:t>
            </w:r>
            <w:r w:rsidRPr="00D71872">
              <w:rPr>
                <w:rFonts w:ascii="Arial" w:eastAsia="Times New Roman" w:hAnsi="Arial" w:cs="Arial"/>
                <w:iCs/>
                <w:sz w:val="24"/>
                <w:szCs w:val="24"/>
                <w:lang w:eastAsia="ar-SA"/>
              </w:rPr>
              <w:t>magazynu przewidzianego do</w:t>
            </w:r>
            <w:r>
              <w:rPr>
                <w:rFonts w:ascii="Arial" w:eastAsia="Times New Roman" w:hAnsi="Arial" w:cs="Arial"/>
                <w:iCs/>
                <w:sz w:val="24"/>
                <w:szCs w:val="24"/>
                <w:lang w:eastAsia="ar-SA"/>
              </w:rPr>
              <w:t> </w:t>
            </w:r>
            <w:r w:rsidRPr="00D71872">
              <w:rPr>
                <w:rFonts w:ascii="Arial" w:eastAsia="Times New Roman" w:hAnsi="Arial" w:cs="Arial"/>
                <w:iCs/>
                <w:sz w:val="24"/>
                <w:szCs w:val="24"/>
                <w:lang w:eastAsia="ar-SA"/>
              </w:rPr>
              <w:t>dofinansowania nie może przekraczać 1 MW</w:t>
            </w:r>
            <w:r>
              <w:rPr>
                <w:rFonts w:ascii="Arial" w:eastAsia="Times New Roman" w:hAnsi="Arial" w:cs="Arial"/>
                <w:iCs/>
                <w:sz w:val="24"/>
                <w:szCs w:val="24"/>
                <w:lang w:eastAsia="ar-SA"/>
              </w:rPr>
              <w:t>e</w:t>
            </w:r>
            <w:r w:rsidRPr="00D71872">
              <w:rPr>
                <w:rFonts w:ascii="Arial" w:eastAsia="Times New Roman" w:hAnsi="Arial" w:cs="Arial"/>
                <w:iCs/>
                <w:sz w:val="24"/>
                <w:szCs w:val="24"/>
                <w:lang w:eastAsia="ar-SA"/>
              </w:rPr>
              <w:t>, przy czym w przypadku</w:t>
            </w:r>
            <w:r>
              <w:rPr>
                <w:rFonts w:ascii="Arial" w:eastAsia="Times New Roman" w:hAnsi="Arial" w:cs="Arial"/>
                <w:iCs/>
                <w:sz w:val="24"/>
                <w:szCs w:val="24"/>
                <w:lang w:eastAsia="ar-SA"/>
              </w:rPr>
              <w:t xml:space="preserve"> </w:t>
            </w:r>
            <w:r w:rsidRPr="00151DAA">
              <w:rPr>
                <w:rFonts w:ascii="Arial" w:eastAsia="Times New Roman" w:hAnsi="Arial" w:cs="Arial"/>
                <w:iCs/>
                <w:sz w:val="24"/>
                <w:szCs w:val="24"/>
                <w:lang w:eastAsia="ar-SA"/>
              </w:rPr>
              <w:t xml:space="preserve">magazynów realizowanych w ramach instalacji OZE, moc nie powinna przekraczać sumarycznej mocy wszystkich jednostek wytwórczych wchodzących w skład danej instalacji energii odnawialnej, dla której </w:t>
            </w:r>
            <w:r>
              <w:rPr>
                <w:rFonts w:ascii="Arial" w:eastAsia="Times New Roman" w:hAnsi="Arial" w:cs="Arial"/>
                <w:iCs/>
                <w:sz w:val="24"/>
                <w:szCs w:val="24"/>
                <w:lang w:eastAsia="ar-SA"/>
              </w:rPr>
              <w:t>dedykowany jest magazyn energii;</w:t>
            </w:r>
            <w:r w:rsidRPr="00151DAA">
              <w:rPr>
                <w:rFonts w:ascii="Times New Roman" w:hAnsi="Times New Roman" w:cs="Times New Roman"/>
                <w:sz w:val="24"/>
                <w:szCs w:val="24"/>
                <w:lang w:eastAsia="pl-PL"/>
              </w:rPr>
              <w:t xml:space="preserve"> </w:t>
            </w:r>
          </w:p>
          <w:p w14:paraId="2C55CA44" w14:textId="54D79B1F" w:rsidR="00A319C9" w:rsidRDefault="00A319C9" w:rsidP="00A319C9">
            <w:pPr>
              <w:pStyle w:val="Akapitzlist"/>
              <w:numPr>
                <w:ilvl w:val="0"/>
                <w:numId w:val="45"/>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w:t>
            </w:r>
            <w:r w:rsidR="0068482D">
              <w:rPr>
                <w:rFonts w:ascii="Arial" w:eastAsia="Times New Roman" w:hAnsi="Arial" w:cs="Arial"/>
                <w:iCs/>
                <w:sz w:val="24"/>
                <w:szCs w:val="24"/>
                <w:lang w:eastAsia="ar-SA"/>
              </w:rPr>
              <w:t>u</w:t>
            </w:r>
            <w:r>
              <w:rPr>
                <w:rFonts w:ascii="Arial" w:eastAsia="Times New Roman" w:hAnsi="Arial" w:cs="Arial"/>
                <w:iCs/>
                <w:sz w:val="24"/>
                <w:szCs w:val="24"/>
                <w:lang w:eastAsia="ar-SA"/>
              </w:rPr>
              <w:t>, mocy i zdolności produkcyjnej instalacji OZE, dla której dedykowany będzie magazyn energii;</w:t>
            </w:r>
          </w:p>
          <w:p w14:paraId="723D64AC" w14:textId="77777777" w:rsidR="00A319C9" w:rsidRPr="00A24080" w:rsidRDefault="00A319C9" w:rsidP="00A319C9">
            <w:pPr>
              <w:pStyle w:val="Akapitzlist"/>
              <w:numPr>
                <w:ilvl w:val="0"/>
                <w:numId w:val="45"/>
              </w:numPr>
              <w:spacing w:line="360" w:lineRule="auto"/>
              <w:rPr>
                <w:rFonts w:ascii="Arial" w:eastAsia="Times New Roman" w:hAnsi="Arial" w:cs="Arial"/>
                <w:iCs/>
                <w:sz w:val="24"/>
                <w:szCs w:val="24"/>
                <w:lang w:eastAsia="ar-SA"/>
              </w:rPr>
            </w:pPr>
            <w:r w:rsidRPr="00A24080">
              <w:rPr>
                <w:rFonts w:ascii="Arial" w:eastAsia="Times New Roman" w:hAnsi="Arial" w:cs="Arial"/>
                <w:iCs/>
                <w:sz w:val="24"/>
                <w:szCs w:val="24"/>
                <w:lang w:eastAsia="ar-SA"/>
              </w:rPr>
              <w:t xml:space="preserve">przeprowadzonej analizy </w:t>
            </w:r>
            <w:r w:rsidRPr="00A24080">
              <w:rPr>
                <w:rFonts w:ascii="Arial" w:eastAsia="Calibri" w:hAnsi="Arial" w:cs="Arial"/>
                <w:sz w:val="24"/>
                <w:szCs w:val="24"/>
              </w:rPr>
              <w:t>profilu zużycia energii w budynku. Planowana pojemność magazynów energii elektrycznej/ ciepła powinna być dostosowana do produkcji energii elektrycznej/ ciepła w istniejących urządzeniach OZE. Należy przedstawić informacje potwierdzające dokonani</w:t>
            </w:r>
            <w:r>
              <w:rPr>
                <w:rFonts w:ascii="Arial" w:eastAsia="Calibri" w:hAnsi="Arial" w:cs="Arial"/>
                <w:sz w:val="24"/>
                <w:szCs w:val="24"/>
              </w:rPr>
              <w:t>e</w:t>
            </w:r>
            <w:r w:rsidRPr="00A24080">
              <w:rPr>
                <w:rFonts w:ascii="Arial" w:eastAsia="Calibri" w:hAnsi="Arial" w:cs="Arial"/>
                <w:sz w:val="24"/>
                <w:szCs w:val="24"/>
              </w:rPr>
              <w:t xml:space="preserve"> </w:t>
            </w:r>
            <w:r w:rsidRPr="00A24080">
              <w:rPr>
                <w:rFonts w:ascii="Arial" w:eastAsia="Calibri" w:hAnsi="Arial" w:cs="Arial"/>
                <w:bCs/>
                <w:sz w:val="24"/>
                <w:szCs w:val="24"/>
                <w:lang w:bidi="pl-PL"/>
              </w:rPr>
              <w:t>właściwego doboru mocy i pojemności magazynów energii do potrzeb energetycznych budynku i posiadanych instalacji OZ</w:t>
            </w:r>
            <w:r w:rsidRPr="003A623D">
              <w:rPr>
                <w:rFonts w:ascii="Arial" w:eastAsia="Calibri" w:hAnsi="Arial" w:cs="Arial"/>
                <w:bCs/>
                <w:sz w:val="24"/>
                <w:szCs w:val="24"/>
                <w:lang w:bidi="pl-PL"/>
              </w:rPr>
              <w:t>E.</w:t>
            </w:r>
          </w:p>
        </w:tc>
      </w:tr>
      <w:tr w:rsidR="00A319C9" w14:paraId="2242569B" w14:textId="77777777" w:rsidTr="00657183">
        <w:tc>
          <w:tcPr>
            <w:tcW w:w="9060" w:type="dxa"/>
            <w:tcBorders>
              <w:top w:val="single" w:sz="4" w:space="0" w:color="auto"/>
              <w:left w:val="single" w:sz="4" w:space="0" w:color="auto"/>
              <w:bottom w:val="single" w:sz="4" w:space="0" w:color="auto"/>
              <w:right w:val="single" w:sz="4" w:space="0" w:color="auto"/>
            </w:tcBorders>
            <w:hideMark/>
          </w:tcPr>
          <w:p w14:paraId="5904F691" w14:textId="77777777" w:rsidR="00A319C9" w:rsidRDefault="00A319C9" w:rsidP="00657183">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p>
          <w:p w14:paraId="2E73ECE6" w14:textId="77777777" w:rsidR="00A319C9" w:rsidRDefault="00A319C9" w:rsidP="00657183">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3053ED53" w14:textId="77777777" w:rsidR="00A319C9" w:rsidRPr="00A24080" w:rsidRDefault="00A319C9" w:rsidP="00A319C9">
            <w:pPr>
              <w:pStyle w:val="Akapitzlist"/>
              <w:numPr>
                <w:ilvl w:val="0"/>
                <w:numId w:val="33"/>
              </w:numPr>
              <w:autoSpaceDE w:val="0"/>
              <w:autoSpaceDN w:val="0"/>
              <w:adjustRightInd w:val="0"/>
              <w:spacing w:after="120" w:line="360" w:lineRule="auto"/>
              <w:rPr>
                <w:rFonts w:ascii="Arial" w:eastAsia="Calibri" w:hAnsi="Arial" w:cs="Arial"/>
                <w:b/>
                <w:bCs/>
                <w:sz w:val="24"/>
              </w:rPr>
            </w:pPr>
            <w:r>
              <w:rPr>
                <w:rFonts w:ascii="Arial" w:eastAsia="Calibri" w:hAnsi="Arial" w:cs="Arial"/>
                <w:bCs/>
                <w:sz w:val="24"/>
              </w:rPr>
              <w:t xml:space="preserve">wskazać,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tzn. został wymieniony w strategii ZIT.</w:t>
            </w:r>
          </w:p>
          <w:p w14:paraId="1EC464B8" w14:textId="77777777" w:rsidR="00A319C9" w:rsidRDefault="00A319C9" w:rsidP="00A319C9">
            <w:pPr>
              <w:pStyle w:val="Akapitzlist"/>
              <w:numPr>
                <w:ilvl w:val="0"/>
                <w:numId w:val="33"/>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lastRenderedPageBreak/>
              <w:t>wskazać iż projekt ma strategiczne znaczenie dla społeczno-gospodarczego obszaru objętego realizacją ZIT, ponieważ wynika z pozytywnie zaopiniowanej przez IZ strategii terytorialnej, która zawiera informacje na jego temat.</w:t>
            </w:r>
          </w:p>
          <w:p w14:paraId="6F5898F8" w14:textId="77777777" w:rsidR="00A319C9" w:rsidRPr="00656756" w:rsidRDefault="00A319C9" w:rsidP="00657183">
            <w:pPr>
              <w:autoSpaceDE w:val="0"/>
              <w:autoSpaceDN w:val="0"/>
              <w:adjustRightInd w:val="0"/>
              <w:spacing w:after="120" w:line="360" w:lineRule="auto"/>
              <w:rPr>
                <w:rFonts w:ascii="Arial" w:eastAsia="Calibri" w:hAnsi="Arial" w:cs="Arial"/>
                <w:bCs/>
                <w:sz w:val="24"/>
              </w:rPr>
            </w:pPr>
            <w:r w:rsidRPr="00656756">
              <w:rPr>
                <w:rFonts w:ascii="Arial" w:eastAsia="Calibri" w:hAnsi="Arial" w:cs="Arial"/>
                <w:b/>
                <w:sz w:val="24"/>
              </w:rPr>
              <w:t xml:space="preserve">Projekt musi wynikać z pozytywnie zaopiniowanej przez IZ strategii terytorialnej. </w:t>
            </w:r>
            <w:r w:rsidRPr="00656756">
              <w:rPr>
                <w:rFonts w:ascii="Arial" w:eastAsia="Calibri" w:hAnsi="Arial" w:cs="Arial"/>
                <w:sz w:val="24"/>
              </w:rPr>
              <w:t>Projekt ma strategiczne znaczenie, jeśli strategia terytorialna zawiera informacje na jego temat (np. wskazuje wnioskodawcę, określa tytuł lub wskazuje najważniejsze elementy projektu).</w:t>
            </w:r>
          </w:p>
          <w:p w14:paraId="34F14FCA" w14:textId="77777777" w:rsidR="00A319C9" w:rsidRDefault="00A319C9" w:rsidP="00657183">
            <w:p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 celu potwierdzenia, że projekt jest ujęty w obowiązującej Strategii ZIT lub zawartym z Zarządem Województwa porozumieniem terytorialnym obszaru na którym jest realizowany należy:</w:t>
            </w:r>
          </w:p>
          <w:p w14:paraId="288ECF3A" w14:textId="77777777" w:rsidR="00A319C9" w:rsidRDefault="00A319C9" w:rsidP="00A319C9">
            <w:pPr>
              <w:pStyle w:val="Akapitzlist"/>
              <w:numPr>
                <w:ilvl w:val="0"/>
                <w:numId w:val="34"/>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wskazać pozycję z listy projektów znajdującej się w obowiązującej na moment składania wniosku Strategii ZIT lub z listy projektów wynikających z zawartego z Zarządem Województwa porozumienia terytorialnego dla obszaru na którym jest realizowany (jeśli dotyczy), pod którą został uwzględniony projekt objęty wnioskiem o dofinansowanie;</w:t>
            </w:r>
          </w:p>
          <w:p w14:paraId="09B0AB8E" w14:textId="77777777" w:rsidR="00A319C9" w:rsidRPr="00A820F5" w:rsidRDefault="00A319C9" w:rsidP="00A319C9">
            <w:pPr>
              <w:pStyle w:val="Akapitzlist"/>
              <w:numPr>
                <w:ilvl w:val="0"/>
                <w:numId w:val="34"/>
              </w:numPr>
              <w:autoSpaceDE w:val="0"/>
              <w:autoSpaceDN w:val="0"/>
              <w:adjustRightInd w:val="0"/>
              <w:spacing w:after="120" w:line="360" w:lineRule="auto"/>
              <w:rPr>
                <w:rFonts w:ascii="Arial" w:eastAsia="Calibri" w:hAnsi="Arial" w:cs="Arial"/>
                <w:sz w:val="24"/>
              </w:rPr>
            </w:pPr>
            <w:r w:rsidRPr="00656756">
              <w:rPr>
                <w:rFonts w:ascii="Arial" w:eastAsia="Calibri" w:hAnsi="Arial" w:cs="Arial"/>
                <w:bCs/>
                <w:sz w:val="24"/>
              </w:rPr>
              <w:t>wskazać nazwę Wnioskodawcy, tytuł projektu, typ projektu oraz wartość wkładu UE dla projektu uwzględnionego na liście projektów Strategii ZIT</w:t>
            </w:r>
            <w:r>
              <w:rPr>
                <w:rFonts w:ascii="Arial" w:eastAsia="Calibri" w:hAnsi="Arial" w:cs="Arial"/>
                <w:bCs/>
                <w:sz w:val="24"/>
              </w:rPr>
              <w:t xml:space="preserve"> lub na liście </w:t>
            </w:r>
            <w:r w:rsidRPr="00656756">
              <w:rPr>
                <w:rFonts w:ascii="Arial" w:eastAsia="Calibri" w:hAnsi="Arial" w:cs="Arial"/>
                <w:bCs/>
                <w:sz w:val="24"/>
              </w:rPr>
              <w:t>porozumienia terytorialnego</w:t>
            </w:r>
            <w:r>
              <w:rPr>
                <w:rFonts w:ascii="Arial" w:eastAsia="Calibri" w:hAnsi="Arial" w:cs="Arial"/>
                <w:bCs/>
                <w:sz w:val="24"/>
              </w:rPr>
              <w:t xml:space="preserve"> zawartego z Zarządem Województwa.</w:t>
            </w:r>
          </w:p>
          <w:p w14:paraId="59B22500" w14:textId="77777777" w:rsidR="00A319C9" w:rsidRPr="00A820F5" w:rsidRDefault="00A319C9" w:rsidP="00657183">
            <w:pPr>
              <w:autoSpaceDE w:val="0"/>
              <w:autoSpaceDN w:val="0"/>
              <w:adjustRightInd w:val="0"/>
              <w:spacing w:after="120" w:line="360" w:lineRule="auto"/>
              <w:rPr>
                <w:rFonts w:ascii="Arial" w:eastAsia="Calibri" w:hAnsi="Arial" w:cs="Arial"/>
                <w:b/>
                <w:sz w:val="24"/>
              </w:rPr>
            </w:pPr>
            <w:r w:rsidRPr="00A820F5">
              <w:rPr>
                <w:rFonts w:ascii="Arial" w:eastAsia="Calibri" w:hAnsi="Arial" w:cs="Arial"/>
                <w:b/>
                <w:sz w:val="24"/>
              </w:rPr>
              <w:t>Należy zwrócić uwagę, że wartość wkładu UE do projektu objętego wnioskiem o dofinansowanie nie może przekraczać maksymalnej wartości wkładu UE wskazanego na liście projektów w Strategii lub Porozumieniu terytorialnym, o którym mowa powyżej.</w:t>
            </w:r>
          </w:p>
        </w:tc>
      </w:tr>
      <w:tr w:rsidR="00A319C9" w14:paraId="4393FE28" w14:textId="77777777" w:rsidTr="00657183">
        <w:tc>
          <w:tcPr>
            <w:tcW w:w="9060" w:type="dxa"/>
            <w:tcBorders>
              <w:top w:val="single" w:sz="4" w:space="0" w:color="auto"/>
              <w:left w:val="single" w:sz="4" w:space="0" w:color="auto"/>
              <w:bottom w:val="single" w:sz="4" w:space="0" w:color="auto"/>
              <w:right w:val="single" w:sz="4" w:space="0" w:color="auto"/>
            </w:tcBorders>
          </w:tcPr>
          <w:p w14:paraId="66013779" w14:textId="77777777" w:rsidR="00A319C9" w:rsidRPr="00A47535" w:rsidRDefault="00A319C9" w:rsidP="00657183">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lastRenderedPageBreak/>
              <w:t xml:space="preserve">Pkt N.4 Trwałość finansowa </w:t>
            </w:r>
          </w:p>
          <w:p w14:paraId="57B9FB84" w14:textId="77777777" w:rsidR="00A319C9" w:rsidRPr="00A47535" w:rsidRDefault="00A319C9" w:rsidP="00657183">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b/>
                <w:bCs/>
                <w:sz w:val="24"/>
              </w:rPr>
              <w:t>I</w:t>
            </w:r>
            <w:r w:rsidRPr="00A47535">
              <w:rPr>
                <w:rFonts w:ascii="Arial" w:eastAsia="Calibri" w:hAnsi="Arial" w:cs="Arial"/>
                <w:b/>
                <w:bCs/>
                <w:sz w:val="24"/>
              </w:rPr>
              <w:t xml:space="preserve">. Wykaz załączników i oświadczeń.   </w:t>
            </w:r>
          </w:p>
          <w:p w14:paraId="2B07DFBA" w14:textId="77777777" w:rsidR="00A319C9" w:rsidRDefault="00A319C9" w:rsidP="00657183">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lastRenderedPageBreak/>
              <w:t>Odpowiednie informacje przedstawić należy w podziale na fazę realizacji (pkt N.4.1) oraz fazę eksploatacji (pkt N.4.2).</w:t>
            </w:r>
          </w:p>
          <w:p w14:paraId="14F2D9A3" w14:textId="3A9655C5" w:rsidR="00DA3651" w:rsidRDefault="00DA3651" w:rsidP="00657183">
            <w:pPr>
              <w:autoSpaceDE w:val="0"/>
              <w:autoSpaceDN w:val="0"/>
              <w:adjustRightInd w:val="0"/>
              <w:spacing w:after="120" w:line="276" w:lineRule="auto"/>
              <w:rPr>
                <w:rFonts w:ascii="Arial" w:eastAsia="Calibri" w:hAnsi="Arial" w:cs="Arial"/>
                <w:b/>
                <w:bCs/>
                <w:sz w:val="24"/>
              </w:rPr>
            </w:pPr>
            <w:r>
              <w:rPr>
                <w:rFonts w:ascii="Arial" w:hAnsi="Arial" w:cs="Arial"/>
                <w:sz w:val="24"/>
                <w:szCs w:val="24"/>
              </w:rPr>
              <w:t>W przypadku zaistnienia wątpliwości IZ zastrzega sobie prawo do zwrócenia się do Wnioskodawcy o przedłożenie innych niezbędnych dokumentów i/lub dodatkowych wyjaśnień.</w:t>
            </w:r>
          </w:p>
        </w:tc>
      </w:tr>
      <w:tr w:rsidR="00DA3651" w14:paraId="1A4BAD89" w14:textId="77777777" w:rsidTr="00657183">
        <w:tc>
          <w:tcPr>
            <w:tcW w:w="9060" w:type="dxa"/>
            <w:tcBorders>
              <w:top w:val="single" w:sz="4" w:space="0" w:color="auto"/>
              <w:left w:val="single" w:sz="4" w:space="0" w:color="auto"/>
              <w:bottom w:val="single" w:sz="4" w:space="0" w:color="auto"/>
              <w:right w:val="single" w:sz="4" w:space="0" w:color="auto"/>
            </w:tcBorders>
          </w:tcPr>
          <w:p w14:paraId="57F10E84" w14:textId="77777777" w:rsidR="00DA3651" w:rsidRPr="00DA3651" w:rsidRDefault="00DA3651" w:rsidP="00DA3651">
            <w:pPr>
              <w:autoSpaceDE w:val="0"/>
              <w:autoSpaceDN w:val="0"/>
              <w:adjustRightInd w:val="0"/>
              <w:spacing w:after="120" w:line="276" w:lineRule="auto"/>
              <w:rPr>
                <w:rFonts w:ascii="Arial" w:eastAsia="Calibri" w:hAnsi="Arial" w:cs="Arial"/>
                <w:b/>
                <w:bCs/>
                <w:iCs/>
                <w:sz w:val="24"/>
              </w:rPr>
            </w:pPr>
            <w:r w:rsidRPr="00DA3651">
              <w:rPr>
                <w:rFonts w:ascii="Arial" w:eastAsia="Calibri" w:hAnsi="Arial" w:cs="Arial"/>
                <w:b/>
                <w:bCs/>
                <w:iCs/>
                <w:sz w:val="24"/>
              </w:rPr>
              <w:lastRenderedPageBreak/>
              <w:t>Pkt O.2.4 Koszty operacyjne projektu</w:t>
            </w:r>
          </w:p>
          <w:p w14:paraId="55C6B47F" w14:textId="77777777" w:rsidR="00DA3651" w:rsidRPr="00DA3651" w:rsidRDefault="00DA3651" w:rsidP="00DA3651">
            <w:pPr>
              <w:autoSpaceDE w:val="0"/>
              <w:autoSpaceDN w:val="0"/>
              <w:adjustRightInd w:val="0"/>
              <w:spacing w:after="120" w:line="276" w:lineRule="auto"/>
              <w:rPr>
                <w:rFonts w:ascii="Arial" w:eastAsia="Calibri" w:hAnsi="Arial" w:cs="Arial"/>
                <w:b/>
                <w:bCs/>
                <w:iCs/>
                <w:sz w:val="24"/>
              </w:rPr>
            </w:pPr>
            <w:r w:rsidRPr="00DA3651">
              <w:rPr>
                <w:rFonts w:ascii="Arial" w:eastAsia="Calibri" w:hAnsi="Arial" w:cs="Arial"/>
                <w:b/>
                <w:bCs/>
                <w:iCs/>
                <w:sz w:val="24"/>
              </w:rPr>
              <w:t>Projekcja kosztów operacyjnych projektu stanowić będzie różnicę pomiędzy kosztami scenariusza z projektem, a kosztami scenariusza bez projektu. W wyniku porównania ww. scenariuszy mogą wystąpić oszczędności kosztów (ujęte ze znakiem ujemnym).</w:t>
            </w:r>
          </w:p>
          <w:p w14:paraId="43073E1C" w14:textId="77777777" w:rsidR="00DA3651" w:rsidRPr="00DA3651" w:rsidRDefault="00DA3651" w:rsidP="00DA3651">
            <w:pPr>
              <w:autoSpaceDE w:val="0"/>
              <w:autoSpaceDN w:val="0"/>
              <w:adjustRightInd w:val="0"/>
              <w:spacing w:after="120" w:line="276" w:lineRule="auto"/>
              <w:rPr>
                <w:rFonts w:ascii="Arial" w:eastAsia="Calibri" w:hAnsi="Arial" w:cs="Arial"/>
                <w:b/>
                <w:bCs/>
                <w:iCs/>
                <w:sz w:val="24"/>
              </w:rPr>
            </w:pPr>
            <w:r w:rsidRPr="00DA3651">
              <w:rPr>
                <w:rFonts w:ascii="Arial" w:eastAsia="Calibri" w:hAnsi="Arial" w:cs="Arial"/>
                <w:b/>
                <w:bCs/>
                <w:iCs/>
                <w:sz w:val="24"/>
              </w:rPr>
              <w:t>W przypadku wystąpienia oszczędności kosztów, prognozy kosztów operacyjnych przygotuj w załączniku Analiza finansowa w arkuszach Obliczenia, Wyniki oraz Trwałość (jeżeli dotyczy). Jednocześnie szczegółowy opis do przyjętych założeń oraz metodologię obliczeń dla prognozy kosztów (oszczędności kosztów) należy przedstawić w części O.2.4  wniosku o dofinansowanie.</w:t>
            </w:r>
          </w:p>
          <w:p w14:paraId="07E68713" w14:textId="77777777" w:rsidR="00DA3651" w:rsidRPr="00DA3651" w:rsidRDefault="00DA3651" w:rsidP="00DA3651">
            <w:pPr>
              <w:autoSpaceDE w:val="0"/>
              <w:autoSpaceDN w:val="0"/>
              <w:adjustRightInd w:val="0"/>
              <w:spacing w:after="120" w:line="276" w:lineRule="auto"/>
              <w:rPr>
                <w:rFonts w:ascii="Arial" w:eastAsia="Calibri" w:hAnsi="Arial" w:cs="Arial"/>
                <w:b/>
                <w:bCs/>
                <w:iCs/>
                <w:sz w:val="24"/>
              </w:rPr>
            </w:pPr>
          </w:p>
          <w:p w14:paraId="31D8A1A5" w14:textId="7E12ABED" w:rsidR="00DA3651" w:rsidRPr="00DA3651" w:rsidRDefault="00DA3651" w:rsidP="00DA3651">
            <w:pPr>
              <w:autoSpaceDE w:val="0"/>
              <w:autoSpaceDN w:val="0"/>
              <w:adjustRightInd w:val="0"/>
              <w:spacing w:after="120" w:line="276" w:lineRule="auto"/>
              <w:rPr>
                <w:rFonts w:ascii="Arial" w:eastAsia="Calibri" w:hAnsi="Arial" w:cs="Arial"/>
                <w:b/>
                <w:bCs/>
                <w:iCs/>
                <w:sz w:val="24"/>
              </w:rPr>
            </w:pPr>
            <w:r w:rsidRPr="00DA3651">
              <w:rPr>
                <w:rFonts w:ascii="Arial" w:eastAsia="Calibri" w:hAnsi="Arial" w:cs="Arial"/>
                <w:b/>
                <w:bCs/>
                <w:iCs/>
                <w:sz w:val="24"/>
              </w:rPr>
              <w:t>W przypadku projektów z typu A – projektów parasolowych należy mieć na uwadze, że 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r w:rsidR="00583804">
              <w:rPr>
                <w:rFonts w:ascii="Arial" w:eastAsia="Calibri" w:hAnsi="Arial" w:cs="Arial"/>
                <w:b/>
                <w:bCs/>
                <w:iCs/>
                <w:sz w:val="24"/>
              </w:rPr>
              <w:t>.</w:t>
            </w:r>
          </w:p>
          <w:p w14:paraId="19DEFAE4" w14:textId="77777777" w:rsidR="00DA3651" w:rsidRPr="00A47535" w:rsidRDefault="00DA3651" w:rsidP="00657183">
            <w:pPr>
              <w:autoSpaceDE w:val="0"/>
              <w:autoSpaceDN w:val="0"/>
              <w:adjustRightInd w:val="0"/>
              <w:spacing w:after="120" w:line="276" w:lineRule="auto"/>
              <w:rPr>
                <w:rFonts w:ascii="Arial" w:eastAsia="Calibri" w:hAnsi="Arial" w:cs="Arial"/>
                <w:b/>
                <w:bCs/>
                <w:sz w:val="24"/>
              </w:rPr>
            </w:pP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2A037573" w14:textId="77777777" w:rsidR="00F97B71" w:rsidRDefault="00F97B71" w:rsidP="00247ACC">
      <w:pPr>
        <w:pStyle w:val="Nagwek2"/>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247ACC">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2B21AB64"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555C4035" w:rsidR="00923DE8" w:rsidRPr="00E4505B" w:rsidRDefault="000F3817" w:rsidP="000F3817">
            <w:pPr>
              <w:pStyle w:val="Akapitzlist"/>
              <w:ind w:left="0"/>
              <w:rPr>
                <w:rFonts w:ascii="Arial" w:hAnsi="Arial" w:cs="Arial"/>
                <w:sz w:val="24"/>
                <w:szCs w:val="24"/>
              </w:rPr>
            </w:pPr>
            <w:r w:rsidRPr="000F3817">
              <w:rPr>
                <w:rFonts w:ascii="Arial" w:hAnsi="Arial" w:cs="Arial"/>
                <w:sz w:val="24"/>
                <w:szCs w:val="24"/>
              </w:rPr>
              <w:t xml:space="preserve">Deklaracja organu odpowiedzialnego za monitorowanie obszarów </w:t>
            </w:r>
            <w:r>
              <w:rPr>
                <w:rFonts w:ascii="Arial" w:hAnsi="Arial" w:cs="Arial"/>
                <w:sz w:val="24"/>
                <w:szCs w:val="24"/>
              </w:rPr>
              <w:t>Natura 2000 wydawany jest przez</w:t>
            </w:r>
            <w:r w:rsidR="005C4058" w:rsidRPr="005C4058">
              <w:rPr>
                <w:rFonts w:ascii="Arial" w:hAnsi="Arial" w:cs="Arial"/>
                <w:sz w:val="24"/>
                <w:szCs w:val="24"/>
              </w:rPr>
              <w:t xml:space="preserve"> Regionalną Dyrekcję Ochrony Środowiska</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0F3817" w14:paraId="0520AA37" w14:textId="77777777" w:rsidTr="00F97B71">
        <w:tc>
          <w:tcPr>
            <w:tcW w:w="643" w:type="dxa"/>
          </w:tcPr>
          <w:p w14:paraId="628CAA3B" w14:textId="77777777" w:rsidR="000F3817" w:rsidRPr="00E4505B" w:rsidRDefault="000F3817" w:rsidP="0016399A">
            <w:pPr>
              <w:pStyle w:val="Akapitzlist"/>
              <w:numPr>
                <w:ilvl w:val="0"/>
                <w:numId w:val="21"/>
              </w:numPr>
              <w:rPr>
                <w:rFonts w:ascii="Arial" w:hAnsi="Arial" w:cs="Arial"/>
                <w:sz w:val="24"/>
                <w:szCs w:val="24"/>
              </w:rPr>
            </w:pPr>
          </w:p>
        </w:tc>
        <w:tc>
          <w:tcPr>
            <w:tcW w:w="7437" w:type="dxa"/>
          </w:tcPr>
          <w:p w14:paraId="1428EBC6" w14:textId="77777777" w:rsidR="000F3817" w:rsidRPr="000F3817" w:rsidRDefault="000F3817" w:rsidP="000F3817">
            <w:pPr>
              <w:spacing w:after="120" w:line="276" w:lineRule="auto"/>
              <w:rPr>
                <w:rFonts w:ascii="Arial" w:eastAsia="Calibri" w:hAnsi="Arial" w:cs="Arial"/>
                <w:b/>
                <w:sz w:val="24"/>
                <w:szCs w:val="24"/>
              </w:rPr>
            </w:pPr>
            <w:r w:rsidRPr="000F3817">
              <w:rPr>
                <w:rFonts w:ascii="Arial" w:eastAsia="Calibri" w:hAnsi="Arial" w:cs="Arial"/>
                <w:b/>
                <w:sz w:val="24"/>
                <w:szCs w:val="24"/>
              </w:rPr>
              <w:t>Dokument organu odpowiedzialnego za gospodarkę wodną (jeśli dotyczy)</w:t>
            </w:r>
          </w:p>
          <w:p w14:paraId="1F9B078F" w14:textId="77777777" w:rsidR="00F37B15" w:rsidRDefault="00F37B15" w:rsidP="00F37B15">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197DB844" w14:textId="77777777" w:rsidR="00F37B15" w:rsidRDefault="00F37B15" w:rsidP="00F37B15">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formalnej kopię dokumentu z Wód Polskich wskazujący na odmowę </w:t>
            </w:r>
            <w:r>
              <w:rPr>
                <w:rFonts w:ascii="Arial" w:eastAsia="Calibri" w:hAnsi="Arial" w:cs="Times New Roman"/>
                <w:sz w:val="24"/>
                <w:szCs w:val="24"/>
              </w:rPr>
              <w:lastRenderedPageBreak/>
              <w:t xml:space="preserve">lub powołać się w zapisach Wniosku o dofinansowanie na konkretny przypadek wyłączenia wskazany w Wademekum wiedzy o wniosku. Jednocześnie Wnioskodawca zobowiązany będzie: </w:t>
            </w:r>
          </w:p>
          <w:p w14:paraId="2D98A421" w14:textId="77777777" w:rsidR="00F37B15" w:rsidRDefault="00F37B15" w:rsidP="00F37B15">
            <w:pPr>
              <w:numPr>
                <w:ilvl w:val="0"/>
                <w:numId w:val="47"/>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96B7512" w14:textId="6263E6C3" w:rsidR="000F3817" w:rsidRPr="00F37B15" w:rsidRDefault="00F37B15" w:rsidP="00F37B15">
            <w:pPr>
              <w:numPr>
                <w:ilvl w:val="0"/>
                <w:numId w:val="47"/>
              </w:numPr>
              <w:spacing w:after="120" w:line="276" w:lineRule="auto"/>
              <w:jc w:val="both"/>
              <w:rPr>
                <w:rFonts w:ascii="Arial" w:eastAsia="Calibri" w:hAnsi="Arial" w:cs="Times New Roman"/>
                <w:sz w:val="24"/>
                <w:szCs w:val="24"/>
              </w:rPr>
            </w:pPr>
            <w:r w:rsidRPr="00F37B15">
              <w:rPr>
                <w:rFonts w:ascii="Arial" w:eastAsia="Calibri" w:hAnsi="Arial" w:cs="Times New Roman"/>
                <w:sz w:val="24"/>
                <w:szCs w:val="24"/>
              </w:rPr>
              <w:t xml:space="preserve">w przypadku projektów </w:t>
            </w:r>
            <w:r w:rsidRPr="00F37B15">
              <w:rPr>
                <w:rFonts w:ascii="Arial" w:eastAsia="Calibri" w:hAnsi="Arial" w:cs="Times New Roman"/>
                <w:b/>
                <w:sz w:val="24"/>
                <w:szCs w:val="24"/>
              </w:rPr>
              <w:t>„zaprojektuj i wybuduj”</w:t>
            </w:r>
            <w:r w:rsidRPr="00F37B15">
              <w:rPr>
                <w:rFonts w:ascii="Arial" w:eastAsia="Calibri" w:hAnsi="Arial" w:cs="Times New Roman"/>
                <w:sz w:val="24"/>
                <w:szCs w:val="24"/>
              </w:rPr>
              <w:t xml:space="preserve"> dostarczyć pozwolenie wodnoprawne lub zgłoszenie wodnoprawne wraz z pierwszym wnioskiem o płatność rozliczającym „roboty budowlane”.</w:t>
            </w:r>
            <w:r w:rsidR="000F3817" w:rsidRPr="00F37B15">
              <w:rPr>
                <w:rFonts w:ascii="Arial" w:eastAsia="Calibri" w:hAnsi="Arial" w:cs="Arial"/>
                <w:sz w:val="24"/>
                <w:szCs w:val="24"/>
              </w:rPr>
              <w:t xml:space="preserve"> </w:t>
            </w:r>
            <w:r w:rsidR="000F3817" w:rsidRPr="00F37B15">
              <w:rPr>
                <w:rFonts w:ascii="Arial" w:eastAsia="Calibri" w:hAnsi="Arial" w:cs="Arial"/>
                <w:b/>
                <w:sz w:val="24"/>
                <w:szCs w:val="24"/>
              </w:rPr>
              <w:t xml:space="preserve">  </w:t>
            </w:r>
          </w:p>
        </w:tc>
        <w:tc>
          <w:tcPr>
            <w:tcW w:w="5812" w:type="dxa"/>
          </w:tcPr>
          <w:p w14:paraId="5BAB40CF" w14:textId="77777777" w:rsidR="00F37B15" w:rsidRDefault="00F37B15" w:rsidP="00F37B15">
            <w:pPr>
              <w:pStyle w:val="Akapitzlist"/>
              <w:numPr>
                <w:ilvl w:val="0"/>
                <w:numId w:val="12"/>
              </w:numPr>
              <w:spacing w:after="120" w:line="276" w:lineRule="auto"/>
              <w:ind w:left="357" w:hanging="357"/>
              <w:rPr>
                <w:rFonts w:ascii="Arial" w:hAnsi="Arial" w:cs="Arial"/>
                <w:sz w:val="24"/>
                <w:szCs w:val="24"/>
              </w:rPr>
            </w:pPr>
            <w:r>
              <w:rPr>
                <w:rFonts w:ascii="Arial" w:hAnsi="Arial" w:cs="Arial"/>
                <w:sz w:val="24"/>
                <w:szCs w:val="24"/>
              </w:rPr>
              <w:lastRenderedPageBreak/>
              <w:t xml:space="preserve">Wraz z wnioskiem o dofinansowanie projektu lub </w:t>
            </w:r>
          </w:p>
          <w:p w14:paraId="53E22867" w14:textId="77777777" w:rsidR="00F37B15" w:rsidRDefault="00F37B15" w:rsidP="00F37B15">
            <w:pPr>
              <w:pStyle w:val="Akapitzlist"/>
              <w:numPr>
                <w:ilvl w:val="0"/>
                <w:numId w:val="13"/>
              </w:numPr>
              <w:spacing w:after="120" w:line="276" w:lineRule="auto"/>
              <w:ind w:left="357" w:hanging="357"/>
              <w:rPr>
                <w:rFonts w:ascii="Arial" w:hAnsi="Arial" w:cs="Arial"/>
                <w:sz w:val="24"/>
                <w:szCs w:val="24"/>
              </w:rPr>
            </w:pPr>
            <w:r>
              <w:rPr>
                <w:rFonts w:ascii="Arial" w:hAnsi="Arial" w:cs="Arial"/>
                <w:sz w:val="24"/>
                <w:szCs w:val="24"/>
              </w:rPr>
              <w:t xml:space="preserve">przed podpisaniem Umowy/ Uchwały/ Porozumienia – do 60 dni od dnia wyboru projektu do dofinansowania </w:t>
            </w:r>
            <w:r>
              <w:rPr>
                <w:rFonts w:ascii="Arial" w:hAnsi="Arial" w:cs="Arial"/>
                <w:b/>
                <w:sz w:val="24"/>
                <w:szCs w:val="24"/>
              </w:rPr>
              <w:t>– przedłożenie pozwolenia wodnoprawnego lub zgłoszenia wodnoprawnego</w:t>
            </w:r>
            <w:r>
              <w:rPr>
                <w:rFonts w:ascii="Arial" w:hAnsi="Arial" w:cs="Arial"/>
                <w:sz w:val="24"/>
                <w:szCs w:val="24"/>
              </w:rPr>
              <w:t xml:space="preserve"> – w przypadku projektów realizowanych w trybie wybuduj,</w:t>
            </w:r>
            <w:r>
              <w:rPr>
                <w:rFonts w:ascii="Arial" w:hAnsi="Arial" w:cs="Arial"/>
                <w:b/>
                <w:sz w:val="24"/>
                <w:szCs w:val="24"/>
              </w:rPr>
              <w:t xml:space="preserve"> </w:t>
            </w:r>
            <w:r>
              <w:rPr>
                <w:rFonts w:ascii="Arial" w:hAnsi="Arial" w:cs="Arial"/>
                <w:sz w:val="24"/>
                <w:szCs w:val="24"/>
              </w:rPr>
              <w:t>dla których konieczne jest uzyskanie pozwolenia wodnoprawnego lub zgłoszenia wodnoprawnego lub</w:t>
            </w:r>
          </w:p>
          <w:p w14:paraId="3A771300" w14:textId="2634E424" w:rsidR="000F3817" w:rsidRPr="00362733" w:rsidRDefault="00F37B15" w:rsidP="00F37B15">
            <w:pPr>
              <w:pStyle w:val="Akapitzlist"/>
              <w:numPr>
                <w:ilvl w:val="0"/>
                <w:numId w:val="13"/>
              </w:numPr>
              <w:rPr>
                <w:rFonts w:ascii="Arial" w:hAnsi="Arial" w:cs="Arial"/>
                <w:sz w:val="24"/>
                <w:szCs w:val="24"/>
              </w:rPr>
            </w:pPr>
            <w:r>
              <w:rPr>
                <w:rFonts w:ascii="Arial" w:hAnsi="Arial" w:cs="Arial"/>
                <w:sz w:val="24"/>
                <w:szCs w:val="24"/>
              </w:rPr>
              <w:t>pierwszy wniosek o płatność obejmujący roboty budowlane –</w:t>
            </w:r>
            <w:r>
              <w:rPr>
                <w:rFonts w:ascii="Arial" w:hAnsi="Arial" w:cs="Arial"/>
                <w:b/>
                <w:sz w:val="24"/>
                <w:szCs w:val="24"/>
              </w:rPr>
              <w:t xml:space="preserve"> przedłożenie pozwolenia wodnoprawnego lub zgłoszenia wodnoprawnego</w:t>
            </w:r>
            <w:r>
              <w:rPr>
                <w:rFonts w:ascii="Arial" w:hAnsi="Arial" w:cs="Arial"/>
                <w:sz w:val="24"/>
                <w:szCs w:val="24"/>
              </w:rPr>
              <w:t xml:space="preserve"> – w przypadku projektów realizowanych w trybie „zaprojektuj i wybuduj”,</w:t>
            </w:r>
            <w:r>
              <w:rPr>
                <w:rFonts w:ascii="Arial" w:hAnsi="Arial" w:cs="Arial"/>
                <w:b/>
                <w:sz w:val="24"/>
                <w:szCs w:val="24"/>
              </w:rPr>
              <w:t xml:space="preserve"> </w:t>
            </w:r>
            <w:r>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537FC6CC" w:rsidR="00923DE8" w:rsidRPr="005C4058"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005C4058" w:rsidRPr="005C4058">
                <w:rPr>
                  <w:rStyle w:val="Hipercze"/>
                  <w:rFonts w:ascii="Arial" w:hAnsi="Arial" w:cs="Arial"/>
                  <w:sz w:val="24"/>
                  <w:szCs w:val="24"/>
                </w:rPr>
                <w:t>https://uokik.gov.pl/nowe-zasady-pomocy-de-minimis</w:t>
              </w:r>
            </w:hyperlink>
            <w:r w:rsidR="005C4058" w:rsidRPr="005C4058">
              <w:rPr>
                <w:rFonts w:ascii="Arial" w:hAnsi="Arial" w:cs="Arial"/>
                <w:sz w:val="24"/>
                <w:szCs w:val="24"/>
              </w:rPr>
              <w:t xml:space="preserve"> </w:t>
            </w:r>
            <w:r w:rsidRPr="005C405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22F4AFE8" w14:textId="77777777" w:rsidR="00907F65"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t>
            </w:r>
          </w:p>
          <w:p w14:paraId="1ED59483" w14:textId="3D9BF437" w:rsidR="002D65DA" w:rsidRPr="00BE407C" w:rsidRDefault="002D65DA" w:rsidP="002D65DA">
            <w:pPr>
              <w:spacing w:before="120" w:after="120"/>
              <w:ind w:left="142"/>
              <w:rPr>
                <w:rFonts w:ascii="Arial" w:hAnsi="Arial" w:cs="Arial"/>
                <w:sz w:val="24"/>
                <w:szCs w:val="24"/>
              </w:rPr>
            </w:pPr>
            <w:r w:rsidRPr="00C3468F">
              <w:rPr>
                <w:rFonts w:ascii="Arial" w:hAnsi="Arial" w:cs="Arial"/>
                <w:sz w:val="24"/>
                <w:szCs w:val="24"/>
              </w:rPr>
              <w:t>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44800E64" w14:textId="77777777" w:rsidR="008B796B" w:rsidRDefault="00E26CE0" w:rsidP="00C3468F">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r w:rsidR="008B796B">
              <w:rPr>
                <w:rFonts w:ascii="Arial" w:hAnsi="Arial" w:cs="Arial"/>
                <w:color w:val="000000" w:themeColor="text1"/>
                <w:sz w:val="24"/>
                <w:szCs w:val="24"/>
              </w:rPr>
              <w:t xml:space="preserve"> </w:t>
            </w:r>
          </w:p>
          <w:p w14:paraId="34E94EB8" w14:textId="6094B8BD" w:rsidR="00D731D5" w:rsidRPr="00E719C6" w:rsidRDefault="00D731D5" w:rsidP="00C3468F">
            <w:pPr>
              <w:spacing w:after="160" w:line="252"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1C4D23D" w14:textId="64B15F6E" w:rsidR="00D731D5" w:rsidRPr="00C3468F" w:rsidRDefault="00D731D5" w:rsidP="00C3468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7C21EB82" w14:textId="64DE5DE4" w:rsidR="001B39BF" w:rsidRPr="007A4890" w:rsidRDefault="00E26CE0" w:rsidP="00E26CE0">
            <w:pPr>
              <w:spacing w:after="160" w:line="252" w:lineRule="auto"/>
              <w:rPr>
                <w:rFonts w:ascii="Arial" w:hAnsi="Arial" w:cs="Arial"/>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 xml:space="preserve">nie sporządza sprawozdań </w:t>
            </w:r>
            <w:r w:rsidR="001B39BF" w:rsidRPr="001B39BF">
              <w:rPr>
                <w:rFonts w:ascii="Arial" w:hAnsi="Arial"/>
                <w:b/>
                <w:sz w:val="24"/>
              </w:rPr>
              <w:t>finansowych</w:t>
            </w:r>
            <w:r w:rsidR="001B39BF" w:rsidRPr="007A4890">
              <w:rPr>
                <w:rFonts w:ascii="Arial" w:hAnsi="Arial" w:cs="Arial"/>
                <w:sz w:val="24"/>
                <w:szCs w:val="24"/>
              </w:rPr>
              <w:t xml:space="preserve">, powinien przedłożyć </w:t>
            </w:r>
            <w:r w:rsidR="001B39BF" w:rsidRPr="001B39BF">
              <w:rPr>
                <w:rFonts w:ascii="Arial" w:hAnsi="Arial"/>
                <w:b/>
                <w:sz w:val="24"/>
              </w:rPr>
              <w:t xml:space="preserve">inne dokumenty </w:t>
            </w:r>
            <w:r w:rsidR="001B39BF"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lastRenderedPageBreak/>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02B5663" w14:textId="4C72CF09" w:rsidR="00F65A10" w:rsidRDefault="00F65A10" w:rsidP="00F65A10">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w:t>
            </w:r>
            <w:r w:rsidR="00397AE6">
              <w:rPr>
                <w:rFonts w:ascii="Arial" w:hAnsi="Arial" w:cs="Arial"/>
                <w:b/>
                <w:bCs/>
                <w:sz w:val="24"/>
                <w:szCs w:val="24"/>
              </w:rPr>
              <w:t>ngażowany finansowo w realizację/eksploatację</w:t>
            </w:r>
            <w:r w:rsidRPr="002A62E2">
              <w:rPr>
                <w:rFonts w:ascii="Arial" w:hAnsi="Arial" w:cs="Arial"/>
                <w:b/>
                <w:bCs/>
                <w:sz w:val="24"/>
                <w:szCs w:val="24"/>
              </w:rPr>
              <w:t xml:space="preserve"> projektu).</w:t>
            </w:r>
          </w:p>
          <w:p w14:paraId="599DF166" w14:textId="2C3F2C17" w:rsidR="00F65A10" w:rsidRDefault="00F65A10" w:rsidP="00F65A10">
            <w:pPr>
              <w:spacing w:after="160" w:line="252" w:lineRule="auto"/>
              <w:rPr>
                <w:rFonts w:ascii="Arial" w:hAnsi="Arial" w:cs="Arial"/>
                <w:b/>
                <w:bCs/>
                <w:sz w:val="24"/>
                <w:szCs w:val="24"/>
              </w:rPr>
            </w:pPr>
            <w:r w:rsidRPr="00C3468F">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0E8B48CD" w14:textId="137B990B" w:rsidR="00CE0912" w:rsidRPr="00C3468F" w:rsidRDefault="00CE0912" w:rsidP="00C3468F">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1B42C34D" w14:textId="77777777" w:rsidR="00F65A10" w:rsidRPr="007A4890" w:rsidRDefault="00F65A10" w:rsidP="00F65A1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4CA0608B" w14:textId="7B01E253" w:rsidR="006C64A4" w:rsidRPr="005C4058" w:rsidRDefault="006C64A4" w:rsidP="005C4058">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5C4058">
              <w:rPr>
                <w:rFonts w:ascii="Arial" w:hAnsi="Arial" w:cs="Arial"/>
                <w:sz w:val="24"/>
                <w:szCs w:val="24"/>
              </w:rPr>
              <w:t xml:space="preserve"> </w:t>
            </w:r>
            <w:r w:rsidR="005C4058" w:rsidRPr="005C4058">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0445E4" w14:paraId="1DEE1793" w14:textId="77777777" w:rsidTr="00F97B71">
        <w:tc>
          <w:tcPr>
            <w:tcW w:w="643" w:type="dxa"/>
          </w:tcPr>
          <w:p w14:paraId="68F8B45F" w14:textId="77777777" w:rsidR="000445E4" w:rsidRPr="00E4505B" w:rsidRDefault="000445E4" w:rsidP="000445E4">
            <w:pPr>
              <w:pStyle w:val="Akapitzlist"/>
              <w:numPr>
                <w:ilvl w:val="0"/>
                <w:numId w:val="21"/>
              </w:numPr>
              <w:rPr>
                <w:rFonts w:ascii="Arial" w:hAnsi="Arial" w:cs="Arial"/>
                <w:sz w:val="24"/>
                <w:szCs w:val="24"/>
              </w:rPr>
            </w:pPr>
          </w:p>
        </w:tc>
        <w:tc>
          <w:tcPr>
            <w:tcW w:w="7437" w:type="dxa"/>
          </w:tcPr>
          <w:p w14:paraId="4939E39A" w14:textId="77777777" w:rsidR="000445E4" w:rsidRDefault="000445E4" w:rsidP="000445E4">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C43ACE">
              <w:rPr>
                <w:rFonts w:ascii="Arial" w:hAnsi="Arial" w:cs="Arial"/>
                <w:sz w:val="24"/>
                <w:szCs w:val="24"/>
              </w:rPr>
              <w:t xml:space="preserve">nr 4 </w:t>
            </w:r>
            <w:r>
              <w:rPr>
                <w:rFonts w:ascii="Arial" w:hAnsi="Arial" w:cs="Arial"/>
                <w:sz w:val="24"/>
                <w:szCs w:val="24"/>
              </w:rPr>
              <w:t>do ogłoszenia o naborze wniosku.</w:t>
            </w:r>
          </w:p>
          <w:p w14:paraId="282C9C98" w14:textId="641F1DE8" w:rsidR="00D731D5" w:rsidRPr="004B039F" w:rsidRDefault="00D731D5" w:rsidP="000445E4">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0445E4" w:rsidRDefault="000445E4" w:rsidP="000445E4">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20F6392" w14:textId="77777777" w:rsidR="007566F3" w:rsidRDefault="007566F3" w:rsidP="00247ACC">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247ACC">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21E7B859"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xml:space="preserve">, jak i partnerzy projektu. Partnerzy składają oświadczenie na wzorze nr </w:t>
      </w:r>
      <w:r w:rsidR="00EC1799">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247ACC">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Pr="005126EC" w:rsidRDefault="001A397C" w:rsidP="0016399A">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Oświadczenie o posiadaniu finansowego wkładu własnego</w:t>
      </w:r>
    </w:p>
    <w:p w14:paraId="230C1980" w14:textId="77777777" w:rsidR="005126EC" w:rsidRPr="005126EC" w:rsidRDefault="004A59B1"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Oświadczenia dla partnerów projektu</w:t>
      </w:r>
    </w:p>
    <w:p w14:paraId="5DE8FB2E" w14:textId="7AFBA594" w:rsidR="00375416" w:rsidRPr="005126EC" w:rsidRDefault="00375416" w:rsidP="005126EC">
      <w:pPr>
        <w:pStyle w:val="Akapitzlist"/>
        <w:numPr>
          <w:ilvl w:val="0"/>
          <w:numId w:val="2"/>
        </w:numPr>
        <w:spacing w:line="240" w:lineRule="auto"/>
        <w:rPr>
          <w:rFonts w:ascii="Arial" w:hAnsi="Arial" w:cs="Arial"/>
          <w:sz w:val="24"/>
          <w:szCs w:val="24"/>
        </w:rPr>
      </w:pPr>
      <w:r w:rsidRPr="005126EC">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C3877">
      <w:pPr>
        <w:pStyle w:val="Nagwek3"/>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t>
      </w:r>
      <w:r w:rsidR="005D28EE" w:rsidRPr="008B796B">
        <w:t>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8"/>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9"/>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1"/>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2"/>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3"/>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C3877">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4"/>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6"/>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319C9">
      <w:pPr>
        <w:numPr>
          <w:ilvl w:val="0"/>
          <w:numId w:val="32"/>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ww. projektu,</w:t>
      </w:r>
    </w:p>
    <w:p w14:paraId="5D472761" w14:textId="77777777" w:rsidR="00715EC1" w:rsidRPr="00715EC1" w:rsidRDefault="00715EC1" w:rsidP="00A319C9">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319C9">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319C9">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C3877">
      <w:pPr>
        <w:pStyle w:val="Nagwek3"/>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0"/>
      <w:bookmarkEnd w:id="1"/>
      <w:bookmarkEnd w:id="2"/>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227B4A94" w:rsidR="007566F3" w:rsidRPr="007566F3" w:rsidRDefault="00C87DE1" w:rsidP="00BC3877">
      <w:pPr>
        <w:pStyle w:val="Nagwek3"/>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C3877">
      <w:pPr>
        <w:pStyle w:val="Nagwek3"/>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21F577ED"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779C4">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24BA" w14:textId="77777777" w:rsidR="005556A1" w:rsidRDefault="005556A1" w:rsidP="00A07FB2">
      <w:pPr>
        <w:spacing w:after="0" w:line="240" w:lineRule="auto"/>
      </w:pPr>
      <w:r>
        <w:separator/>
      </w:r>
    </w:p>
  </w:endnote>
  <w:endnote w:type="continuationSeparator" w:id="0">
    <w:p w14:paraId="64534908" w14:textId="77777777" w:rsidR="005556A1" w:rsidRDefault="005556A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501B599" w:rsidR="005556A1" w:rsidRDefault="005556A1">
        <w:pPr>
          <w:pStyle w:val="Stopka"/>
          <w:jc w:val="center"/>
        </w:pPr>
        <w:r>
          <w:fldChar w:fldCharType="begin"/>
        </w:r>
        <w:r>
          <w:instrText>PAGE   \* MERGEFORMAT</w:instrText>
        </w:r>
        <w:r>
          <w:fldChar w:fldCharType="separate"/>
        </w:r>
        <w:r w:rsidR="0007295C">
          <w:rPr>
            <w:noProof/>
          </w:rPr>
          <w:t>27</w:t>
        </w:r>
        <w:r>
          <w:fldChar w:fldCharType="end"/>
        </w:r>
      </w:p>
    </w:sdtContent>
  </w:sdt>
  <w:p w14:paraId="580015FB" w14:textId="77777777" w:rsidR="005556A1" w:rsidRDefault="005556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0287" w14:textId="77777777" w:rsidR="005556A1" w:rsidRDefault="005556A1" w:rsidP="00A07FB2">
      <w:pPr>
        <w:spacing w:after="0" w:line="240" w:lineRule="auto"/>
      </w:pPr>
      <w:r>
        <w:separator/>
      </w:r>
    </w:p>
  </w:footnote>
  <w:footnote w:type="continuationSeparator" w:id="0">
    <w:p w14:paraId="52DC7827" w14:textId="77777777" w:rsidR="005556A1" w:rsidRDefault="005556A1" w:rsidP="00A07FB2">
      <w:pPr>
        <w:spacing w:after="0" w:line="240" w:lineRule="auto"/>
      </w:pPr>
      <w:r>
        <w:continuationSeparator/>
      </w:r>
    </w:p>
  </w:footnote>
  <w:footnote w:id="1">
    <w:p w14:paraId="543D32D0" w14:textId="77777777" w:rsidR="005556A1" w:rsidRDefault="005556A1" w:rsidP="008A0C3A">
      <w:pPr>
        <w:pStyle w:val="Tekstprzypisudolnego"/>
      </w:pPr>
      <w:r>
        <w:rPr>
          <w:rStyle w:val="Odwoanieprzypisudolnego"/>
        </w:rPr>
        <w:footnoteRef/>
      </w:r>
      <w:r>
        <w:t xml:space="preserve"> Uwaga: Realizacja projektu może wymagać pozyskania lub zmiany warunków przyłączeniowych</w:t>
      </w:r>
      <w:r w:rsidRPr="00251404">
        <w:t xml:space="preserve"> od Operatora Systemu Dystrybucyjnego</w:t>
      </w:r>
      <w:r>
        <w:t>. Na etapie oceny merytorycznej ta kwestia może być przedmiotem weryfikacji i wymagać uzasadnienia.</w:t>
      </w:r>
    </w:p>
  </w:footnote>
  <w:footnote w:id="2">
    <w:p w14:paraId="4AD342E2" w14:textId="77777777" w:rsidR="005556A1" w:rsidRPr="00A25826" w:rsidRDefault="005556A1" w:rsidP="008A0C3A">
      <w:pPr>
        <w:pStyle w:val="Tekstprzypisudolnego"/>
        <w:rPr>
          <w:rFonts w:cs="Arial"/>
        </w:rPr>
      </w:pPr>
      <w:r w:rsidRPr="00A25826">
        <w:rPr>
          <w:rStyle w:val="Odwoanieprzypisudolnego"/>
          <w:rFonts w:cs="Arial"/>
        </w:rPr>
        <w:footnoteRef/>
      </w:r>
      <w:r w:rsidRPr="00A25826">
        <w:rPr>
          <w:rFonts w:cs="Arial"/>
        </w:rPr>
        <w:t xml:space="preserve"> Definiowana zgodnie z art. 2 pkt 13 Ustawy z dnia 20 lutego 2015 r. o odnawialnych źródłach energii.</w:t>
      </w:r>
    </w:p>
  </w:footnote>
  <w:footnote w:id="3">
    <w:p w14:paraId="25B9B278" w14:textId="77777777" w:rsidR="005556A1" w:rsidRPr="000A469C" w:rsidRDefault="005556A1" w:rsidP="008A0C3A">
      <w:pPr>
        <w:pStyle w:val="Tekstprzypisudolnego"/>
        <w:ind w:left="142" w:hanging="142"/>
        <w:rPr>
          <w:rFonts w:cs="Arial"/>
        </w:rPr>
      </w:pPr>
      <w:r w:rsidRPr="000A469C">
        <w:rPr>
          <w:rStyle w:val="Odwoanieprzypisudolnego"/>
          <w:rFonts w:cs="Arial"/>
        </w:rPr>
        <w:footnoteRef/>
      </w:r>
      <w:r w:rsidRPr="000A469C">
        <w:rPr>
          <w:rFonts w:cs="Arial"/>
        </w:rPr>
        <w:t xml:space="preserve"> Potwierdzenia dysponowania niezbędnymi nieruchomościami na okres realizacji oraz trwałości projektu należy dokonać najpóźniej w terminie </w:t>
      </w:r>
      <w:r w:rsidRPr="000A469C">
        <w:rPr>
          <w:rFonts w:cs="Arial"/>
          <w:b/>
        </w:rPr>
        <w:t>60 dni</w:t>
      </w:r>
      <w:r w:rsidRPr="000A469C">
        <w:rPr>
          <w:rFonts w:cs="Arial"/>
        </w:rPr>
        <w:t xml:space="preserve"> od dnia podjęcia przez ZWM uchwały o wyborze projektu do dofinansowanie</w:t>
      </w:r>
      <w:r>
        <w:rPr>
          <w:rFonts w:cs="Arial"/>
        </w:rPr>
        <w:t>, chyba że kryteria wyboru projektów stanowią inaczej</w:t>
      </w:r>
      <w:r w:rsidRPr="000A469C">
        <w:rPr>
          <w:rFonts w:cs="Arial"/>
        </w:rPr>
        <w:t xml:space="preserve"> – zgodnie z zapisami §25 ust. 2 Regulaminu.</w:t>
      </w:r>
    </w:p>
  </w:footnote>
  <w:footnote w:id="4">
    <w:p w14:paraId="60005B51" w14:textId="77777777" w:rsidR="005556A1" w:rsidRDefault="005556A1" w:rsidP="008A0C3A">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08BC1556" w14:textId="77777777" w:rsidR="005556A1" w:rsidRDefault="005556A1" w:rsidP="008A0C3A">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328B2EBA" w14:textId="77777777" w:rsidR="005556A1" w:rsidRDefault="005556A1" w:rsidP="008A0C3A">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6">
    <w:p w14:paraId="2D36A43A" w14:textId="77777777" w:rsidR="005556A1" w:rsidRPr="00872866" w:rsidRDefault="005556A1"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15B53463" w14:textId="7489CF0D" w:rsidR="005556A1" w:rsidRDefault="005556A1">
      <w:pPr>
        <w:pStyle w:val="Tekstprzypisudolnego"/>
      </w:pPr>
      <w:r>
        <w:rPr>
          <w:rStyle w:val="Odwoanieprzypisudolnego"/>
        </w:rPr>
        <w:footnoteRef/>
      </w:r>
      <w:r>
        <w:t xml:space="preserve"> </w:t>
      </w:r>
      <w:r w:rsidRPr="006265CC">
        <w:t>https://fundusze.malopolska.pl/sites/default/files/2023/09/3411/Umowa_Partnerstwa_na_lata_2021_2027.pdf</w:t>
      </w:r>
    </w:p>
  </w:footnote>
  <w:footnote w:id="8">
    <w:p w14:paraId="04442931" w14:textId="77777777" w:rsidR="005556A1" w:rsidRDefault="005556A1" w:rsidP="005D28EE">
      <w:pPr>
        <w:pStyle w:val="Tekstprzypisudolnego"/>
      </w:pPr>
      <w:r w:rsidRPr="00FB225D">
        <w:rPr>
          <w:rStyle w:val="Odwoanieprzypisudolnego"/>
          <w:sz w:val="28"/>
        </w:rPr>
        <w:footnoteRef/>
      </w:r>
      <w:r w:rsidRPr="00660ED8">
        <w:rPr>
          <w:sz w:val="22"/>
        </w:rPr>
        <w:t xml:space="preserve"> Niewłaściwe skreślić</w:t>
      </w:r>
    </w:p>
  </w:footnote>
  <w:footnote w:id="9">
    <w:p w14:paraId="45ECF36C" w14:textId="77777777" w:rsidR="005556A1" w:rsidRDefault="005556A1"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0">
    <w:p w14:paraId="2E436009" w14:textId="5CE28567" w:rsidR="005556A1" w:rsidRDefault="005556A1"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1">
    <w:p w14:paraId="69C7FF07" w14:textId="77777777" w:rsidR="005556A1" w:rsidRDefault="005556A1"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2">
    <w:p w14:paraId="388F8D81" w14:textId="77777777" w:rsidR="005556A1" w:rsidRDefault="005556A1" w:rsidP="005D28EE">
      <w:pPr>
        <w:pStyle w:val="Tekstprzypisudolnego"/>
      </w:pPr>
      <w:r>
        <w:rPr>
          <w:rStyle w:val="Odwoanieprzypisudolnego"/>
        </w:rPr>
        <w:footnoteRef/>
      </w:r>
      <w:r>
        <w:t xml:space="preserve"> </w:t>
      </w:r>
      <w:r w:rsidRPr="00660ED8">
        <w:rPr>
          <w:sz w:val="22"/>
        </w:rPr>
        <w:t>Niewłaściwe skreślić</w:t>
      </w:r>
    </w:p>
  </w:footnote>
  <w:footnote w:id="13">
    <w:p w14:paraId="76345F28" w14:textId="77777777" w:rsidR="005556A1" w:rsidRDefault="005556A1"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5556A1" w:rsidRDefault="005556A1" w:rsidP="005D28EE">
      <w:pPr>
        <w:pStyle w:val="Tekstprzypisudolnego"/>
      </w:pPr>
      <w:r w:rsidRPr="004257EB">
        <w:rPr>
          <w:sz w:val="28"/>
          <w:szCs w:val="28"/>
          <w:vertAlign w:val="superscript"/>
        </w:rPr>
        <w:t xml:space="preserve">7 </w:t>
      </w:r>
      <w:r>
        <w:rPr>
          <w:sz w:val="22"/>
          <w:szCs w:val="22"/>
        </w:rPr>
        <w:t>Niewłaściwe skreślić</w:t>
      </w:r>
      <w:bookmarkStart w:id="5" w:name="_GoBack"/>
      <w:bookmarkEnd w:id="5"/>
    </w:p>
  </w:footnote>
  <w:footnote w:id="14">
    <w:p w14:paraId="3EF292E2" w14:textId="77777777" w:rsidR="005556A1" w:rsidRDefault="005556A1"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5">
    <w:p w14:paraId="7AF9BF17" w14:textId="62E998DC" w:rsidR="005556A1" w:rsidRDefault="005556A1"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6">
    <w:p w14:paraId="5A24D123" w14:textId="77777777" w:rsidR="005556A1" w:rsidRDefault="005556A1"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51780840" w14:textId="77777777" w:rsidR="005556A1" w:rsidRDefault="005556A1" w:rsidP="00715EC1">
      <w:pPr>
        <w:pStyle w:val="Tekstprzypisudolnego"/>
      </w:pPr>
      <w:r w:rsidRPr="00AE1361">
        <w:rPr>
          <w:rStyle w:val="Odwoanieprzypisudolnego"/>
          <w:sz w:val="22"/>
        </w:rPr>
        <w:footnoteRef/>
      </w:r>
      <w:r w:rsidRPr="00AE1361">
        <w:rPr>
          <w:sz w:val="22"/>
        </w:rPr>
        <w:t xml:space="preserve"> Niewłaściwe skreślić</w:t>
      </w:r>
    </w:p>
  </w:footnote>
  <w:footnote w:id="18">
    <w:p w14:paraId="04E1659B" w14:textId="77777777" w:rsidR="005556A1" w:rsidRDefault="005556A1"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9">
    <w:p w14:paraId="5603A36E" w14:textId="77777777" w:rsidR="005556A1" w:rsidRDefault="005556A1"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F00E25"/>
    <w:multiLevelType w:val="hybridMultilevel"/>
    <w:tmpl w:val="BB3EACCA"/>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A466F0"/>
    <w:multiLevelType w:val="hybridMultilevel"/>
    <w:tmpl w:val="8698D9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97AB5"/>
    <w:multiLevelType w:val="hybridMultilevel"/>
    <w:tmpl w:val="28E42F2A"/>
    <w:lvl w:ilvl="0" w:tplc="60749F0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 w15:restartNumberingAfterBreak="0">
    <w:nsid w:val="1772327A"/>
    <w:multiLevelType w:val="hybridMultilevel"/>
    <w:tmpl w:val="7522368A"/>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7737B"/>
    <w:multiLevelType w:val="hybridMultilevel"/>
    <w:tmpl w:val="3B4AD0FA"/>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B36155"/>
    <w:multiLevelType w:val="hybridMultilevel"/>
    <w:tmpl w:val="83548D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A7B1440"/>
    <w:multiLevelType w:val="hybridMultilevel"/>
    <w:tmpl w:val="C0225ED0"/>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903A718E">
      <w:start w:val="1"/>
      <w:numFmt w:val="upperLetter"/>
      <w:lvlText w:val="%3."/>
      <w:lvlJc w:val="left"/>
      <w:pPr>
        <w:ind w:left="928"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82146"/>
    <w:multiLevelType w:val="hybridMultilevel"/>
    <w:tmpl w:val="48AC5BB6"/>
    <w:lvl w:ilvl="0" w:tplc="D6D08292">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E2503C"/>
    <w:multiLevelType w:val="hybridMultilevel"/>
    <w:tmpl w:val="C36826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1DF226C"/>
    <w:multiLevelType w:val="hybridMultilevel"/>
    <w:tmpl w:val="8FB4990C"/>
    <w:lvl w:ilvl="0" w:tplc="33408D7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3" w15:restartNumberingAfterBreak="0">
    <w:nsid w:val="54895F94"/>
    <w:multiLevelType w:val="hybridMultilevel"/>
    <w:tmpl w:val="184C8BBE"/>
    <w:lvl w:ilvl="0" w:tplc="33408D74">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ED4289F"/>
    <w:multiLevelType w:val="hybridMultilevel"/>
    <w:tmpl w:val="3F86472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6" w15:restartNumberingAfterBreak="0">
    <w:nsid w:val="627E50D3"/>
    <w:multiLevelType w:val="hybridMultilevel"/>
    <w:tmpl w:val="C9985554"/>
    <w:lvl w:ilvl="0" w:tplc="FF646148">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FF2C39"/>
    <w:multiLevelType w:val="hybridMultilevel"/>
    <w:tmpl w:val="A28AFDA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20"/>
  </w:num>
  <w:num w:numId="4">
    <w:abstractNumId w:val="0"/>
  </w:num>
  <w:num w:numId="5">
    <w:abstractNumId w:val="43"/>
  </w:num>
  <w:num w:numId="6">
    <w:abstractNumId w:val="44"/>
  </w:num>
  <w:num w:numId="7">
    <w:abstractNumId w:val="34"/>
  </w:num>
  <w:num w:numId="8">
    <w:abstractNumId w:val="21"/>
  </w:num>
  <w:num w:numId="9">
    <w:abstractNumId w:val="41"/>
  </w:num>
  <w:num w:numId="10">
    <w:abstractNumId w:val="24"/>
  </w:num>
  <w:num w:numId="11">
    <w:abstractNumId w:val="29"/>
  </w:num>
  <w:num w:numId="12">
    <w:abstractNumId w:val="45"/>
  </w:num>
  <w:num w:numId="13">
    <w:abstractNumId w:val="22"/>
  </w:num>
  <w:num w:numId="14">
    <w:abstractNumId w:val="40"/>
  </w:num>
  <w:num w:numId="15">
    <w:abstractNumId w:val="4"/>
  </w:num>
  <w:num w:numId="16">
    <w:abstractNumId w:val="38"/>
  </w:num>
  <w:num w:numId="17">
    <w:abstractNumId w:val="17"/>
  </w:num>
  <w:num w:numId="18">
    <w:abstractNumId w:val="12"/>
  </w:num>
  <w:num w:numId="19">
    <w:abstractNumId w:val="18"/>
  </w:num>
  <w:num w:numId="20">
    <w:abstractNumId w:val="14"/>
  </w:num>
  <w:num w:numId="21">
    <w:abstractNumId w:val="37"/>
  </w:num>
  <w:num w:numId="22">
    <w:abstractNumId w:val="23"/>
  </w:num>
  <w:num w:numId="23">
    <w:abstractNumId w:val="6"/>
  </w:num>
  <w:num w:numId="24">
    <w:abstractNumId w:val="15"/>
  </w:num>
  <w:num w:numId="25">
    <w:abstractNumId w:val="30"/>
  </w:num>
  <w:num w:numId="26">
    <w:abstractNumId w:val="10"/>
  </w:num>
  <w:num w:numId="27">
    <w:abstractNumId w:val="42"/>
  </w:num>
  <w:num w:numId="28">
    <w:abstractNumId w:val="13"/>
  </w:num>
  <w:num w:numId="29">
    <w:abstractNumId w:val="46"/>
  </w:num>
  <w:num w:numId="30">
    <w:abstractNumId w:val="11"/>
  </w:num>
  <w:num w:numId="31">
    <w:abstractNumId w:val="3"/>
  </w:num>
  <w:num w:numId="32">
    <w:abstractNumId w:val="25"/>
  </w:num>
  <w:num w:numId="33">
    <w:abstractNumId w:val="16"/>
  </w:num>
  <w:num w:numId="34">
    <w:abstractNumId w:val="2"/>
  </w:num>
  <w:num w:numId="35">
    <w:abstractNumId w:val="7"/>
  </w:num>
  <w:num w:numId="36">
    <w:abstractNumId w:val="33"/>
  </w:num>
  <w:num w:numId="37">
    <w:abstractNumId w:val="39"/>
  </w:num>
  <w:num w:numId="38">
    <w:abstractNumId w:val="31"/>
  </w:num>
  <w:num w:numId="39">
    <w:abstractNumId w:val="32"/>
  </w:num>
  <w:num w:numId="40">
    <w:abstractNumId w:val="36"/>
  </w:num>
  <w:num w:numId="41">
    <w:abstractNumId w:val="26"/>
  </w:num>
  <w:num w:numId="42">
    <w:abstractNumId w:val="35"/>
  </w:num>
  <w:num w:numId="43">
    <w:abstractNumId w:val="27"/>
  </w:num>
  <w:num w:numId="44">
    <w:abstractNumId w:val="19"/>
  </w:num>
  <w:num w:numId="45">
    <w:abstractNumId w:val="8"/>
  </w:num>
  <w:num w:numId="46">
    <w:abstractNumId w:val="1"/>
  </w:num>
  <w:num w:numId="47">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2772"/>
    <w:rsid w:val="0003658E"/>
    <w:rsid w:val="00037D0A"/>
    <w:rsid w:val="000412DD"/>
    <w:rsid w:val="00042584"/>
    <w:rsid w:val="000445E4"/>
    <w:rsid w:val="00044944"/>
    <w:rsid w:val="00045C54"/>
    <w:rsid w:val="000515AE"/>
    <w:rsid w:val="00051A77"/>
    <w:rsid w:val="00054687"/>
    <w:rsid w:val="000665FE"/>
    <w:rsid w:val="00067DDD"/>
    <w:rsid w:val="0007295C"/>
    <w:rsid w:val="00080171"/>
    <w:rsid w:val="0008435F"/>
    <w:rsid w:val="0009078C"/>
    <w:rsid w:val="00097039"/>
    <w:rsid w:val="00097C70"/>
    <w:rsid w:val="000A2128"/>
    <w:rsid w:val="000A2F54"/>
    <w:rsid w:val="000A4B6F"/>
    <w:rsid w:val="000A7924"/>
    <w:rsid w:val="000B1DB2"/>
    <w:rsid w:val="000B3DFE"/>
    <w:rsid w:val="000B5E2C"/>
    <w:rsid w:val="000B6E19"/>
    <w:rsid w:val="000C3FD2"/>
    <w:rsid w:val="000D510E"/>
    <w:rsid w:val="000D5745"/>
    <w:rsid w:val="000F2DD4"/>
    <w:rsid w:val="000F3817"/>
    <w:rsid w:val="000F61FA"/>
    <w:rsid w:val="000F62AD"/>
    <w:rsid w:val="00101DB2"/>
    <w:rsid w:val="001048FF"/>
    <w:rsid w:val="001060DC"/>
    <w:rsid w:val="00107CE9"/>
    <w:rsid w:val="001121D6"/>
    <w:rsid w:val="0011231A"/>
    <w:rsid w:val="0012030E"/>
    <w:rsid w:val="0012409F"/>
    <w:rsid w:val="0012434D"/>
    <w:rsid w:val="00124C9D"/>
    <w:rsid w:val="00130CE5"/>
    <w:rsid w:val="0013211F"/>
    <w:rsid w:val="00134312"/>
    <w:rsid w:val="001369E6"/>
    <w:rsid w:val="00137B00"/>
    <w:rsid w:val="001417C3"/>
    <w:rsid w:val="0015386E"/>
    <w:rsid w:val="00153C3D"/>
    <w:rsid w:val="0015415D"/>
    <w:rsid w:val="00154C6B"/>
    <w:rsid w:val="001615FC"/>
    <w:rsid w:val="001635A0"/>
    <w:rsid w:val="0016399A"/>
    <w:rsid w:val="001716C1"/>
    <w:rsid w:val="00175CAB"/>
    <w:rsid w:val="00177AC0"/>
    <w:rsid w:val="00181A78"/>
    <w:rsid w:val="0018219F"/>
    <w:rsid w:val="00182654"/>
    <w:rsid w:val="00182F1E"/>
    <w:rsid w:val="001832EB"/>
    <w:rsid w:val="00183D73"/>
    <w:rsid w:val="0018449E"/>
    <w:rsid w:val="0018711E"/>
    <w:rsid w:val="001928A4"/>
    <w:rsid w:val="0019359A"/>
    <w:rsid w:val="00194E5C"/>
    <w:rsid w:val="00197138"/>
    <w:rsid w:val="001A1FC5"/>
    <w:rsid w:val="001A397C"/>
    <w:rsid w:val="001A76BC"/>
    <w:rsid w:val="001B07AE"/>
    <w:rsid w:val="001B39BF"/>
    <w:rsid w:val="001B5681"/>
    <w:rsid w:val="001B6334"/>
    <w:rsid w:val="001B6E95"/>
    <w:rsid w:val="001B787B"/>
    <w:rsid w:val="001C35B6"/>
    <w:rsid w:val="001D36FB"/>
    <w:rsid w:val="001D44C7"/>
    <w:rsid w:val="001D5550"/>
    <w:rsid w:val="001E1253"/>
    <w:rsid w:val="001E26D6"/>
    <w:rsid w:val="001E3D4C"/>
    <w:rsid w:val="001E3E37"/>
    <w:rsid w:val="001F06DB"/>
    <w:rsid w:val="001F0A66"/>
    <w:rsid w:val="001F1705"/>
    <w:rsid w:val="001F2B48"/>
    <w:rsid w:val="001F78A4"/>
    <w:rsid w:val="00200A2B"/>
    <w:rsid w:val="002031BB"/>
    <w:rsid w:val="0020526D"/>
    <w:rsid w:val="002103E1"/>
    <w:rsid w:val="00210F86"/>
    <w:rsid w:val="00211332"/>
    <w:rsid w:val="00213EE8"/>
    <w:rsid w:val="002172B0"/>
    <w:rsid w:val="00220609"/>
    <w:rsid w:val="002219D5"/>
    <w:rsid w:val="002247B0"/>
    <w:rsid w:val="00225A01"/>
    <w:rsid w:val="00230644"/>
    <w:rsid w:val="002322AC"/>
    <w:rsid w:val="002325FA"/>
    <w:rsid w:val="0023529A"/>
    <w:rsid w:val="0023537A"/>
    <w:rsid w:val="00235D10"/>
    <w:rsid w:val="00240B9A"/>
    <w:rsid w:val="00242042"/>
    <w:rsid w:val="00242D45"/>
    <w:rsid w:val="00244406"/>
    <w:rsid w:val="00245489"/>
    <w:rsid w:val="00245874"/>
    <w:rsid w:val="00247ACC"/>
    <w:rsid w:val="0025080F"/>
    <w:rsid w:val="0025167A"/>
    <w:rsid w:val="00251CE3"/>
    <w:rsid w:val="0025490B"/>
    <w:rsid w:val="00255F7F"/>
    <w:rsid w:val="00265DAB"/>
    <w:rsid w:val="002663AA"/>
    <w:rsid w:val="002679F9"/>
    <w:rsid w:val="002766BD"/>
    <w:rsid w:val="002821EA"/>
    <w:rsid w:val="0028757D"/>
    <w:rsid w:val="002912BA"/>
    <w:rsid w:val="002919AC"/>
    <w:rsid w:val="00295D06"/>
    <w:rsid w:val="002A0C6C"/>
    <w:rsid w:val="002A1218"/>
    <w:rsid w:val="002A353B"/>
    <w:rsid w:val="002A5FCF"/>
    <w:rsid w:val="002B04EE"/>
    <w:rsid w:val="002B0A5D"/>
    <w:rsid w:val="002B0D3D"/>
    <w:rsid w:val="002C180B"/>
    <w:rsid w:val="002C34AC"/>
    <w:rsid w:val="002C6664"/>
    <w:rsid w:val="002D1093"/>
    <w:rsid w:val="002D13EA"/>
    <w:rsid w:val="002D3DFB"/>
    <w:rsid w:val="002D65DA"/>
    <w:rsid w:val="002E0FE8"/>
    <w:rsid w:val="002E3A0C"/>
    <w:rsid w:val="002E42E5"/>
    <w:rsid w:val="002E5107"/>
    <w:rsid w:val="002E5789"/>
    <w:rsid w:val="002E6A40"/>
    <w:rsid w:val="002E7070"/>
    <w:rsid w:val="002F014C"/>
    <w:rsid w:val="002F2D70"/>
    <w:rsid w:val="002F68E8"/>
    <w:rsid w:val="002F6D20"/>
    <w:rsid w:val="00301065"/>
    <w:rsid w:val="00306896"/>
    <w:rsid w:val="003211B3"/>
    <w:rsid w:val="00327AF4"/>
    <w:rsid w:val="00332248"/>
    <w:rsid w:val="0033421C"/>
    <w:rsid w:val="0033574F"/>
    <w:rsid w:val="00337931"/>
    <w:rsid w:val="00337F14"/>
    <w:rsid w:val="00346E01"/>
    <w:rsid w:val="0035114E"/>
    <w:rsid w:val="003576A5"/>
    <w:rsid w:val="00362733"/>
    <w:rsid w:val="00363A99"/>
    <w:rsid w:val="00367C8B"/>
    <w:rsid w:val="00370857"/>
    <w:rsid w:val="00372A0E"/>
    <w:rsid w:val="00374916"/>
    <w:rsid w:val="00375416"/>
    <w:rsid w:val="00375656"/>
    <w:rsid w:val="00381F2B"/>
    <w:rsid w:val="00384E79"/>
    <w:rsid w:val="00384FE4"/>
    <w:rsid w:val="00385541"/>
    <w:rsid w:val="003858DB"/>
    <w:rsid w:val="00390E64"/>
    <w:rsid w:val="003921E2"/>
    <w:rsid w:val="00392240"/>
    <w:rsid w:val="00394CE5"/>
    <w:rsid w:val="00396247"/>
    <w:rsid w:val="00397AE6"/>
    <w:rsid w:val="00397C45"/>
    <w:rsid w:val="00397CBC"/>
    <w:rsid w:val="003A2C7D"/>
    <w:rsid w:val="003A4AC1"/>
    <w:rsid w:val="003A536A"/>
    <w:rsid w:val="003A6533"/>
    <w:rsid w:val="003A6E1D"/>
    <w:rsid w:val="003A784A"/>
    <w:rsid w:val="003B1B4D"/>
    <w:rsid w:val="003B39AB"/>
    <w:rsid w:val="003C1D07"/>
    <w:rsid w:val="003C36FA"/>
    <w:rsid w:val="003C4BFF"/>
    <w:rsid w:val="003C6D4D"/>
    <w:rsid w:val="003D2DE2"/>
    <w:rsid w:val="003D49C3"/>
    <w:rsid w:val="003D5A4C"/>
    <w:rsid w:val="003E1623"/>
    <w:rsid w:val="003E3643"/>
    <w:rsid w:val="003F0381"/>
    <w:rsid w:val="003F67A9"/>
    <w:rsid w:val="003F78EF"/>
    <w:rsid w:val="003F7DA4"/>
    <w:rsid w:val="00402966"/>
    <w:rsid w:val="00402A69"/>
    <w:rsid w:val="00402E2C"/>
    <w:rsid w:val="004030E5"/>
    <w:rsid w:val="004051D7"/>
    <w:rsid w:val="004066EC"/>
    <w:rsid w:val="004216D9"/>
    <w:rsid w:val="00424C80"/>
    <w:rsid w:val="00425A5D"/>
    <w:rsid w:val="00425CE7"/>
    <w:rsid w:val="0043071B"/>
    <w:rsid w:val="004340D1"/>
    <w:rsid w:val="004342B3"/>
    <w:rsid w:val="004359FB"/>
    <w:rsid w:val="0044099F"/>
    <w:rsid w:val="0044254C"/>
    <w:rsid w:val="00443E96"/>
    <w:rsid w:val="00444578"/>
    <w:rsid w:val="004476DE"/>
    <w:rsid w:val="004507A5"/>
    <w:rsid w:val="00452E3F"/>
    <w:rsid w:val="00454415"/>
    <w:rsid w:val="0045552C"/>
    <w:rsid w:val="00476371"/>
    <w:rsid w:val="00477555"/>
    <w:rsid w:val="00477EBA"/>
    <w:rsid w:val="0048295C"/>
    <w:rsid w:val="004918D6"/>
    <w:rsid w:val="00493D45"/>
    <w:rsid w:val="00493DD3"/>
    <w:rsid w:val="00494BEA"/>
    <w:rsid w:val="00497079"/>
    <w:rsid w:val="004A2022"/>
    <w:rsid w:val="004A535C"/>
    <w:rsid w:val="004A59B1"/>
    <w:rsid w:val="004A60B0"/>
    <w:rsid w:val="004A66E5"/>
    <w:rsid w:val="004A7755"/>
    <w:rsid w:val="004B039F"/>
    <w:rsid w:val="004B4093"/>
    <w:rsid w:val="004B4680"/>
    <w:rsid w:val="004C252A"/>
    <w:rsid w:val="004C38E7"/>
    <w:rsid w:val="004C3E9B"/>
    <w:rsid w:val="004C4D2C"/>
    <w:rsid w:val="004D02C5"/>
    <w:rsid w:val="004D3742"/>
    <w:rsid w:val="004D3F1F"/>
    <w:rsid w:val="004D45AA"/>
    <w:rsid w:val="004D5828"/>
    <w:rsid w:val="004D775A"/>
    <w:rsid w:val="004E114F"/>
    <w:rsid w:val="004E4DC1"/>
    <w:rsid w:val="004E640A"/>
    <w:rsid w:val="004F2728"/>
    <w:rsid w:val="004F676B"/>
    <w:rsid w:val="004F6ACA"/>
    <w:rsid w:val="005030A7"/>
    <w:rsid w:val="00506B81"/>
    <w:rsid w:val="00506B97"/>
    <w:rsid w:val="00507168"/>
    <w:rsid w:val="00511E71"/>
    <w:rsid w:val="005126EC"/>
    <w:rsid w:val="005129E9"/>
    <w:rsid w:val="00513C25"/>
    <w:rsid w:val="005154B2"/>
    <w:rsid w:val="00521F27"/>
    <w:rsid w:val="005257E4"/>
    <w:rsid w:val="00526C8F"/>
    <w:rsid w:val="00530548"/>
    <w:rsid w:val="00530E0A"/>
    <w:rsid w:val="00534496"/>
    <w:rsid w:val="005347DE"/>
    <w:rsid w:val="00543144"/>
    <w:rsid w:val="0054369B"/>
    <w:rsid w:val="0055081F"/>
    <w:rsid w:val="00554A2A"/>
    <w:rsid w:val="0055559F"/>
    <w:rsid w:val="005556A1"/>
    <w:rsid w:val="0055583A"/>
    <w:rsid w:val="00557548"/>
    <w:rsid w:val="00561BCA"/>
    <w:rsid w:val="0056663C"/>
    <w:rsid w:val="00570F19"/>
    <w:rsid w:val="00571333"/>
    <w:rsid w:val="005735B4"/>
    <w:rsid w:val="00574EAB"/>
    <w:rsid w:val="0057612C"/>
    <w:rsid w:val="0057674A"/>
    <w:rsid w:val="005779C4"/>
    <w:rsid w:val="00583804"/>
    <w:rsid w:val="00586D7A"/>
    <w:rsid w:val="00591312"/>
    <w:rsid w:val="00593BAD"/>
    <w:rsid w:val="0059610E"/>
    <w:rsid w:val="005A4A64"/>
    <w:rsid w:val="005A6AD2"/>
    <w:rsid w:val="005B2393"/>
    <w:rsid w:val="005B2C94"/>
    <w:rsid w:val="005B3960"/>
    <w:rsid w:val="005B5E43"/>
    <w:rsid w:val="005B6E73"/>
    <w:rsid w:val="005B7836"/>
    <w:rsid w:val="005C060E"/>
    <w:rsid w:val="005C4058"/>
    <w:rsid w:val="005C5B21"/>
    <w:rsid w:val="005D173B"/>
    <w:rsid w:val="005D28EE"/>
    <w:rsid w:val="005D4322"/>
    <w:rsid w:val="005E1180"/>
    <w:rsid w:val="005E458A"/>
    <w:rsid w:val="005F3214"/>
    <w:rsid w:val="00600A58"/>
    <w:rsid w:val="00614D70"/>
    <w:rsid w:val="006169BC"/>
    <w:rsid w:val="00622475"/>
    <w:rsid w:val="006265CC"/>
    <w:rsid w:val="00626668"/>
    <w:rsid w:val="00630642"/>
    <w:rsid w:val="00643C09"/>
    <w:rsid w:val="00643DD2"/>
    <w:rsid w:val="006468FD"/>
    <w:rsid w:val="00646DC7"/>
    <w:rsid w:val="00650C5D"/>
    <w:rsid w:val="006564AA"/>
    <w:rsid w:val="00656FDF"/>
    <w:rsid w:val="00657183"/>
    <w:rsid w:val="0066072E"/>
    <w:rsid w:val="006626FC"/>
    <w:rsid w:val="0066289B"/>
    <w:rsid w:val="00662B14"/>
    <w:rsid w:val="006640AE"/>
    <w:rsid w:val="00664305"/>
    <w:rsid w:val="00666877"/>
    <w:rsid w:val="006705DD"/>
    <w:rsid w:val="00673310"/>
    <w:rsid w:val="0067439D"/>
    <w:rsid w:val="00674A45"/>
    <w:rsid w:val="00674AD3"/>
    <w:rsid w:val="0067584F"/>
    <w:rsid w:val="0067620E"/>
    <w:rsid w:val="006773F8"/>
    <w:rsid w:val="006835B0"/>
    <w:rsid w:val="0068482D"/>
    <w:rsid w:val="00690D60"/>
    <w:rsid w:val="006915A0"/>
    <w:rsid w:val="00694292"/>
    <w:rsid w:val="006A20E6"/>
    <w:rsid w:val="006A2322"/>
    <w:rsid w:val="006A3070"/>
    <w:rsid w:val="006A6A4E"/>
    <w:rsid w:val="006B2FC2"/>
    <w:rsid w:val="006B5E07"/>
    <w:rsid w:val="006B6EA2"/>
    <w:rsid w:val="006B7A21"/>
    <w:rsid w:val="006C1BDF"/>
    <w:rsid w:val="006C306C"/>
    <w:rsid w:val="006C4779"/>
    <w:rsid w:val="006C5821"/>
    <w:rsid w:val="006C64A4"/>
    <w:rsid w:val="006C74F1"/>
    <w:rsid w:val="006C7C49"/>
    <w:rsid w:val="006D32E1"/>
    <w:rsid w:val="006D45CF"/>
    <w:rsid w:val="006D75BE"/>
    <w:rsid w:val="006E5D40"/>
    <w:rsid w:val="006F63FD"/>
    <w:rsid w:val="006F752A"/>
    <w:rsid w:val="006F7B90"/>
    <w:rsid w:val="00701CE2"/>
    <w:rsid w:val="00702001"/>
    <w:rsid w:val="00707E58"/>
    <w:rsid w:val="00712516"/>
    <w:rsid w:val="00715EC1"/>
    <w:rsid w:val="0072593F"/>
    <w:rsid w:val="00730264"/>
    <w:rsid w:val="00735E15"/>
    <w:rsid w:val="0073649C"/>
    <w:rsid w:val="00750297"/>
    <w:rsid w:val="007566F3"/>
    <w:rsid w:val="007749C3"/>
    <w:rsid w:val="00776031"/>
    <w:rsid w:val="007855C3"/>
    <w:rsid w:val="007856B8"/>
    <w:rsid w:val="00792CDD"/>
    <w:rsid w:val="007A1BA4"/>
    <w:rsid w:val="007A2332"/>
    <w:rsid w:val="007A6331"/>
    <w:rsid w:val="007B4278"/>
    <w:rsid w:val="007B6002"/>
    <w:rsid w:val="007B67D8"/>
    <w:rsid w:val="007C522C"/>
    <w:rsid w:val="007C6127"/>
    <w:rsid w:val="007C70C4"/>
    <w:rsid w:val="007C74F1"/>
    <w:rsid w:val="007D136D"/>
    <w:rsid w:val="007D51C0"/>
    <w:rsid w:val="007E2634"/>
    <w:rsid w:val="007E3E8F"/>
    <w:rsid w:val="007E3F67"/>
    <w:rsid w:val="007E57CD"/>
    <w:rsid w:val="007F093E"/>
    <w:rsid w:val="007F0DD2"/>
    <w:rsid w:val="007F351A"/>
    <w:rsid w:val="007F3622"/>
    <w:rsid w:val="007F4289"/>
    <w:rsid w:val="007F5BCF"/>
    <w:rsid w:val="007F62CC"/>
    <w:rsid w:val="007F6419"/>
    <w:rsid w:val="00800090"/>
    <w:rsid w:val="00800168"/>
    <w:rsid w:val="00800A2D"/>
    <w:rsid w:val="00800E6F"/>
    <w:rsid w:val="0081423B"/>
    <w:rsid w:val="008175DB"/>
    <w:rsid w:val="008177DD"/>
    <w:rsid w:val="0082413B"/>
    <w:rsid w:val="00832F0B"/>
    <w:rsid w:val="008336FA"/>
    <w:rsid w:val="00841613"/>
    <w:rsid w:val="00853728"/>
    <w:rsid w:val="00857F44"/>
    <w:rsid w:val="00861799"/>
    <w:rsid w:val="008639C8"/>
    <w:rsid w:val="00866BAC"/>
    <w:rsid w:val="00867D29"/>
    <w:rsid w:val="00871CD6"/>
    <w:rsid w:val="00874C02"/>
    <w:rsid w:val="008774D5"/>
    <w:rsid w:val="00880773"/>
    <w:rsid w:val="0088127D"/>
    <w:rsid w:val="00881A60"/>
    <w:rsid w:val="0088541A"/>
    <w:rsid w:val="0089403E"/>
    <w:rsid w:val="00895BC8"/>
    <w:rsid w:val="00895FEF"/>
    <w:rsid w:val="00897768"/>
    <w:rsid w:val="008A0C3A"/>
    <w:rsid w:val="008A1C16"/>
    <w:rsid w:val="008A46B4"/>
    <w:rsid w:val="008A4B3C"/>
    <w:rsid w:val="008A72B2"/>
    <w:rsid w:val="008B0AA0"/>
    <w:rsid w:val="008B125D"/>
    <w:rsid w:val="008B17C0"/>
    <w:rsid w:val="008B43C2"/>
    <w:rsid w:val="008B4C07"/>
    <w:rsid w:val="008B681A"/>
    <w:rsid w:val="008B796B"/>
    <w:rsid w:val="008C2126"/>
    <w:rsid w:val="008C4D4F"/>
    <w:rsid w:val="008D2364"/>
    <w:rsid w:val="008D5570"/>
    <w:rsid w:val="008E02F2"/>
    <w:rsid w:val="008E3D05"/>
    <w:rsid w:val="008E421D"/>
    <w:rsid w:val="008E48A1"/>
    <w:rsid w:val="008E5800"/>
    <w:rsid w:val="008E5F63"/>
    <w:rsid w:val="008E7295"/>
    <w:rsid w:val="008E78CF"/>
    <w:rsid w:val="008F1C7F"/>
    <w:rsid w:val="00906DBB"/>
    <w:rsid w:val="00907369"/>
    <w:rsid w:val="00907F65"/>
    <w:rsid w:val="0091491F"/>
    <w:rsid w:val="00917226"/>
    <w:rsid w:val="00923DE8"/>
    <w:rsid w:val="00925A63"/>
    <w:rsid w:val="00927182"/>
    <w:rsid w:val="00932442"/>
    <w:rsid w:val="009355E4"/>
    <w:rsid w:val="009358E2"/>
    <w:rsid w:val="009520EB"/>
    <w:rsid w:val="00962F85"/>
    <w:rsid w:val="00964715"/>
    <w:rsid w:val="00972569"/>
    <w:rsid w:val="009739AA"/>
    <w:rsid w:val="00975D73"/>
    <w:rsid w:val="00981930"/>
    <w:rsid w:val="00981AC4"/>
    <w:rsid w:val="00982208"/>
    <w:rsid w:val="0098306D"/>
    <w:rsid w:val="009861C5"/>
    <w:rsid w:val="00986955"/>
    <w:rsid w:val="00990412"/>
    <w:rsid w:val="009908BA"/>
    <w:rsid w:val="00994EF5"/>
    <w:rsid w:val="00995552"/>
    <w:rsid w:val="009A08A4"/>
    <w:rsid w:val="009A42E9"/>
    <w:rsid w:val="009A467D"/>
    <w:rsid w:val="009A47C7"/>
    <w:rsid w:val="009A47EC"/>
    <w:rsid w:val="009B4B60"/>
    <w:rsid w:val="009B52F9"/>
    <w:rsid w:val="009C20C9"/>
    <w:rsid w:val="009C5F02"/>
    <w:rsid w:val="009D2C6B"/>
    <w:rsid w:val="009D3374"/>
    <w:rsid w:val="009D3E6E"/>
    <w:rsid w:val="009D44F8"/>
    <w:rsid w:val="009E5720"/>
    <w:rsid w:val="009E599A"/>
    <w:rsid w:val="009F0BE3"/>
    <w:rsid w:val="009F3E85"/>
    <w:rsid w:val="009F4ED5"/>
    <w:rsid w:val="009F7D19"/>
    <w:rsid w:val="00A07ED1"/>
    <w:rsid w:val="00A07FB2"/>
    <w:rsid w:val="00A135FA"/>
    <w:rsid w:val="00A235AE"/>
    <w:rsid w:val="00A24214"/>
    <w:rsid w:val="00A319C9"/>
    <w:rsid w:val="00A36429"/>
    <w:rsid w:val="00A37F3E"/>
    <w:rsid w:val="00A427D8"/>
    <w:rsid w:val="00A442E6"/>
    <w:rsid w:val="00A52814"/>
    <w:rsid w:val="00A54A1A"/>
    <w:rsid w:val="00A552A6"/>
    <w:rsid w:val="00A577EC"/>
    <w:rsid w:val="00A6613E"/>
    <w:rsid w:val="00A71E8C"/>
    <w:rsid w:val="00A75B57"/>
    <w:rsid w:val="00A811B6"/>
    <w:rsid w:val="00A873D0"/>
    <w:rsid w:val="00A90654"/>
    <w:rsid w:val="00A94027"/>
    <w:rsid w:val="00AA54CD"/>
    <w:rsid w:val="00AA58CA"/>
    <w:rsid w:val="00AA69A3"/>
    <w:rsid w:val="00AB6341"/>
    <w:rsid w:val="00AB650A"/>
    <w:rsid w:val="00AB6A3F"/>
    <w:rsid w:val="00AB6D57"/>
    <w:rsid w:val="00AB7278"/>
    <w:rsid w:val="00AC120C"/>
    <w:rsid w:val="00AC1BD3"/>
    <w:rsid w:val="00AC26D4"/>
    <w:rsid w:val="00AC4B1F"/>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0ACC"/>
    <w:rsid w:val="00B171F1"/>
    <w:rsid w:val="00B212D4"/>
    <w:rsid w:val="00B24B48"/>
    <w:rsid w:val="00B27B10"/>
    <w:rsid w:val="00B32C06"/>
    <w:rsid w:val="00B33448"/>
    <w:rsid w:val="00B35F60"/>
    <w:rsid w:val="00B36A06"/>
    <w:rsid w:val="00B400E7"/>
    <w:rsid w:val="00B40E3F"/>
    <w:rsid w:val="00B437F8"/>
    <w:rsid w:val="00B443DD"/>
    <w:rsid w:val="00B444F0"/>
    <w:rsid w:val="00B4485F"/>
    <w:rsid w:val="00B54636"/>
    <w:rsid w:val="00B564A2"/>
    <w:rsid w:val="00B5715E"/>
    <w:rsid w:val="00B57784"/>
    <w:rsid w:val="00B61430"/>
    <w:rsid w:val="00B61692"/>
    <w:rsid w:val="00B63001"/>
    <w:rsid w:val="00B64107"/>
    <w:rsid w:val="00B64BAF"/>
    <w:rsid w:val="00B66E9F"/>
    <w:rsid w:val="00B72455"/>
    <w:rsid w:val="00B82A35"/>
    <w:rsid w:val="00B84DC2"/>
    <w:rsid w:val="00B84E21"/>
    <w:rsid w:val="00B91584"/>
    <w:rsid w:val="00B9275A"/>
    <w:rsid w:val="00B94565"/>
    <w:rsid w:val="00B948D7"/>
    <w:rsid w:val="00B94E5C"/>
    <w:rsid w:val="00B971D9"/>
    <w:rsid w:val="00BA723A"/>
    <w:rsid w:val="00BB29BE"/>
    <w:rsid w:val="00BB6DA4"/>
    <w:rsid w:val="00BB7B24"/>
    <w:rsid w:val="00BC0974"/>
    <w:rsid w:val="00BC1354"/>
    <w:rsid w:val="00BC3877"/>
    <w:rsid w:val="00BC5463"/>
    <w:rsid w:val="00BC6AD9"/>
    <w:rsid w:val="00BC6CBC"/>
    <w:rsid w:val="00BD3E9B"/>
    <w:rsid w:val="00BE09A6"/>
    <w:rsid w:val="00BE3E5A"/>
    <w:rsid w:val="00BE607E"/>
    <w:rsid w:val="00BE6185"/>
    <w:rsid w:val="00BE6DB7"/>
    <w:rsid w:val="00C01B32"/>
    <w:rsid w:val="00C1142B"/>
    <w:rsid w:val="00C1458B"/>
    <w:rsid w:val="00C162A7"/>
    <w:rsid w:val="00C1719C"/>
    <w:rsid w:val="00C20B26"/>
    <w:rsid w:val="00C21C72"/>
    <w:rsid w:val="00C22836"/>
    <w:rsid w:val="00C2398F"/>
    <w:rsid w:val="00C25EE1"/>
    <w:rsid w:val="00C310EE"/>
    <w:rsid w:val="00C32D2E"/>
    <w:rsid w:val="00C3468F"/>
    <w:rsid w:val="00C35515"/>
    <w:rsid w:val="00C4319E"/>
    <w:rsid w:val="00C43ACE"/>
    <w:rsid w:val="00C47B97"/>
    <w:rsid w:val="00C5030B"/>
    <w:rsid w:val="00C50E75"/>
    <w:rsid w:val="00C553E0"/>
    <w:rsid w:val="00C55A20"/>
    <w:rsid w:val="00C56F70"/>
    <w:rsid w:val="00C57A87"/>
    <w:rsid w:val="00C64BEC"/>
    <w:rsid w:val="00C767BE"/>
    <w:rsid w:val="00C76965"/>
    <w:rsid w:val="00C77AD3"/>
    <w:rsid w:val="00C805AA"/>
    <w:rsid w:val="00C82DEC"/>
    <w:rsid w:val="00C867DF"/>
    <w:rsid w:val="00C86967"/>
    <w:rsid w:val="00C87DE1"/>
    <w:rsid w:val="00C91863"/>
    <w:rsid w:val="00C91A59"/>
    <w:rsid w:val="00C91DEA"/>
    <w:rsid w:val="00C92C14"/>
    <w:rsid w:val="00C93046"/>
    <w:rsid w:val="00C9585F"/>
    <w:rsid w:val="00CA4086"/>
    <w:rsid w:val="00CA6AE1"/>
    <w:rsid w:val="00CA724D"/>
    <w:rsid w:val="00CB2384"/>
    <w:rsid w:val="00CB2DE5"/>
    <w:rsid w:val="00CB67E2"/>
    <w:rsid w:val="00CC14C2"/>
    <w:rsid w:val="00CC224A"/>
    <w:rsid w:val="00CC55BC"/>
    <w:rsid w:val="00CC6655"/>
    <w:rsid w:val="00CC7E6E"/>
    <w:rsid w:val="00CD2D70"/>
    <w:rsid w:val="00CD4C01"/>
    <w:rsid w:val="00CD5C39"/>
    <w:rsid w:val="00CE0912"/>
    <w:rsid w:val="00CE50D0"/>
    <w:rsid w:val="00CF02E4"/>
    <w:rsid w:val="00CF4253"/>
    <w:rsid w:val="00D013DC"/>
    <w:rsid w:val="00D03A1B"/>
    <w:rsid w:val="00D04EC0"/>
    <w:rsid w:val="00D05AB2"/>
    <w:rsid w:val="00D062E4"/>
    <w:rsid w:val="00D1193C"/>
    <w:rsid w:val="00D12EB5"/>
    <w:rsid w:val="00D15FD3"/>
    <w:rsid w:val="00D16D8D"/>
    <w:rsid w:val="00D2104C"/>
    <w:rsid w:val="00D22864"/>
    <w:rsid w:val="00D25CEF"/>
    <w:rsid w:val="00D273B0"/>
    <w:rsid w:val="00D27859"/>
    <w:rsid w:val="00D3617A"/>
    <w:rsid w:val="00D37399"/>
    <w:rsid w:val="00D43427"/>
    <w:rsid w:val="00D4706F"/>
    <w:rsid w:val="00D517F1"/>
    <w:rsid w:val="00D5215E"/>
    <w:rsid w:val="00D53ACB"/>
    <w:rsid w:val="00D5498D"/>
    <w:rsid w:val="00D5611C"/>
    <w:rsid w:val="00D62B84"/>
    <w:rsid w:val="00D70D6F"/>
    <w:rsid w:val="00D728E4"/>
    <w:rsid w:val="00D728F0"/>
    <w:rsid w:val="00D731D5"/>
    <w:rsid w:val="00D73A39"/>
    <w:rsid w:val="00D80364"/>
    <w:rsid w:val="00D813BC"/>
    <w:rsid w:val="00D857B7"/>
    <w:rsid w:val="00D85CEE"/>
    <w:rsid w:val="00D870E0"/>
    <w:rsid w:val="00D9278A"/>
    <w:rsid w:val="00D9544A"/>
    <w:rsid w:val="00DA1919"/>
    <w:rsid w:val="00DA23E4"/>
    <w:rsid w:val="00DA3651"/>
    <w:rsid w:val="00DA6DEC"/>
    <w:rsid w:val="00DA7367"/>
    <w:rsid w:val="00DB0646"/>
    <w:rsid w:val="00DB273F"/>
    <w:rsid w:val="00DB40DA"/>
    <w:rsid w:val="00DB4941"/>
    <w:rsid w:val="00DB4BFA"/>
    <w:rsid w:val="00DB4F07"/>
    <w:rsid w:val="00DC429E"/>
    <w:rsid w:val="00DC6F09"/>
    <w:rsid w:val="00DD38E8"/>
    <w:rsid w:val="00DE1F30"/>
    <w:rsid w:val="00DE246D"/>
    <w:rsid w:val="00DE42D5"/>
    <w:rsid w:val="00DE532F"/>
    <w:rsid w:val="00DF3D19"/>
    <w:rsid w:val="00DF5061"/>
    <w:rsid w:val="00E00980"/>
    <w:rsid w:val="00E03072"/>
    <w:rsid w:val="00E036E3"/>
    <w:rsid w:val="00E0463A"/>
    <w:rsid w:val="00E04B63"/>
    <w:rsid w:val="00E1309D"/>
    <w:rsid w:val="00E136D9"/>
    <w:rsid w:val="00E15D36"/>
    <w:rsid w:val="00E22A80"/>
    <w:rsid w:val="00E23A12"/>
    <w:rsid w:val="00E256A2"/>
    <w:rsid w:val="00E26A9C"/>
    <w:rsid w:val="00E26CE0"/>
    <w:rsid w:val="00E30B04"/>
    <w:rsid w:val="00E31027"/>
    <w:rsid w:val="00E34AA6"/>
    <w:rsid w:val="00E37D35"/>
    <w:rsid w:val="00E4046D"/>
    <w:rsid w:val="00E42C69"/>
    <w:rsid w:val="00E446AB"/>
    <w:rsid w:val="00E4505B"/>
    <w:rsid w:val="00E54DF5"/>
    <w:rsid w:val="00E5638B"/>
    <w:rsid w:val="00E63CCC"/>
    <w:rsid w:val="00E64602"/>
    <w:rsid w:val="00E6538E"/>
    <w:rsid w:val="00E655BE"/>
    <w:rsid w:val="00E65B84"/>
    <w:rsid w:val="00E65D5A"/>
    <w:rsid w:val="00E700EA"/>
    <w:rsid w:val="00E711A4"/>
    <w:rsid w:val="00E72CD1"/>
    <w:rsid w:val="00E74FA4"/>
    <w:rsid w:val="00E776EE"/>
    <w:rsid w:val="00E86969"/>
    <w:rsid w:val="00E93B13"/>
    <w:rsid w:val="00E93EBE"/>
    <w:rsid w:val="00E9522D"/>
    <w:rsid w:val="00E964BB"/>
    <w:rsid w:val="00E979D0"/>
    <w:rsid w:val="00EA0CC8"/>
    <w:rsid w:val="00EA1D52"/>
    <w:rsid w:val="00EA4C7E"/>
    <w:rsid w:val="00EB0DDE"/>
    <w:rsid w:val="00EB0E17"/>
    <w:rsid w:val="00EB2BBD"/>
    <w:rsid w:val="00EB4D5C"/>
    <w:rsid w:val="00EB7FEE"/>
    <w:rsid w:val="00EC1309"/>
    <w:rsid w:val="00EC1799"/>
    <w:rsid w:val="00EC322C"/>
    <w:rsid w:val="00EC43E2"/>
    <w:rsid w:val="00ED142F"/>
    <w:rsid w:val="00ED2C2D"/>
    <w:rsid w:val="00ED3F04"/>
    <w:rsid w:val="00ED4340"/>
    <w:rsid w:val="00ED6CA7"/>
    <w:rsid w:val="00ED7F71"/>
    <w:rsid w:val="00EE2C15"/>
    <w:rsid w:val="00EE69E5"/>
    <w:rsid w:val="00EF0663"/>
    <w:rsid w:val="00F01E02"/>
    <w:rsid w:val="00F0366A"/>
    <w:rsid w:val="00F03984"/>
    <w:rsid w:val="00F063FB"/>
    <w:rsid w:val="00F11710"/>
    <w:rsid w:val="00F119DE"/>
    <w:rsid w:val="00F158FB"/>
    <w:rsid w:val="00F321B2"/>
    <w:rsid w:val="00F3416E"/>
    <w:rsid w:val="00F36740"/>
    <w:rsid w:val="00F3795A"/>
    <w:rsid w:val="00F37B15"/>
    <w:rsid w:val="00F40183"/>
    <w:rsid w:val="00F41159"/>
    <w:rsid w:val="00F454E1"/>
    <w:rsid w:val="00F52809"/>
    <w:rsid w:val="00F53E4F"/>
    <w:rsid w:val="00F60B3C"/>
    <w:rsid w:val="00F65A10"/>
    <w:rsid w:val="00F71853"/>
    <w:rsid w:val="00F72264"/>
    <w:rsid w:val="00F74BF6"/>
    <w:rsid w:val="00F771A6"/>
    <w:rsid w:val="00F8224F"/>
    <w:rsid w:val="00F83A3A"/>
    <w:rsid w:val="00F85573"/>
    <w:rsid w:val="00F90E77"/>
    <w:rsid w:val="00F91B8C"/>
    <w:rsid w:val="00F976F5"/>
    <w:rsid w:val="00F97B71"/>
    <w:rsid w:val="00FA041D"/>
    <w:rsid w:val="00FA6FE9"/>
    <w:rsid w:val="00FB0007"/>
    <w:rsid w:val="00FB3E1D"/>
    <w:rsid w:val="00FB44C7"/>
    <w:rsid w:val="00FB4FA6"/>
    <w:rsid w:val="00FB4FD2"/>
    <w:rsid w:val="00FC2960"/>
    <w:rsid w:val="00FC4DAB"/>
    <w:rsid w:val="00FC4DF2"/>
    <w:rsid w:val="00FC5842"/>
    <w:rsid w:val="00FC68D8"/>
    <w:rsid w:val="00FD02A4"/>
    <w:rsid w:val="00FD09D1"/>
    <w:rsid w:val="00FD3F6F"/>
    <w:rsid w:val="00FD71B0"/>
    <w:rsid w:val="00FE06A9"/>
    <w:rsid w:val="00FF210C"/>
    <w:rsid w:val="00FF6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6D8E62A"/>
  <w15:chartTrackingRefBased/>
  <w15:docId w15:val="{95E2321A-6F04-4C09-8FEF-61F75F1B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47ACC"/>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C3877"/>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247ACC"/>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C3877"/>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 w:type="paragraph" w:styleId="Bezodstpw">
    <w:name w:val="No Spacing"/>
    <w:uiPriority w:val="1"/>
    <w:qFormat/>
    <w:rsid w:val="002E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40277">
      <w:bodyDiv w:val="1"/>
      <w:marLeft w:val="0"/>
      <w:marRight w:val="0"/>
      <w:marTop w:val="0"/>
      <w:marBottom w:val="0"/>
      <w:divBdr>
        <w:top w:val="none" w:sz="0" w:space="0" w:color="auto"/>
        <w:left w:val="none" w:sz="0" w:space="0" w:color="auto"/>
        <w:bottom w:val="none" w:sz="0" w:space="0" w:color="auto"/>
        <w:right w:val="none" w:sz="0" w:space="0" w:color="auto"/>
      </w:divBdr>
    </w:div>
    <w:div w:id="601228299">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790781604">
      <w:bodyDiv w:val="1"/>
      <w:marLeft w:val="0"/>
      <w:marRight w:val="0"/>
      <w:marTop w:val="0"/>
      <w:marBottom w:val="0"/>
      <w:divBdr>
        <w:top w:val="none" w:sz="0" w:space="0" w:color="auto"/>
        <w:left w:val="none" w:sz="0" w:space="0" w:color="auto"/>
        <w:bottom w:val="none" w:sz="0" w:space="0" w:color="auto"/>
        <w:right w:val="none" w:sz="0" w:space="0" w:color="auto"/>
      </w:divBdr>
    </w:div>
    <w:div w:id="98392424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11786359">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359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nowe-zasady-pomocy-de-minim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71AC-69EF-43DE-BEBD-3649C609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7686</Words>
  <Characters>46117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8</cp:revision>
  <cp:lastPrinted>2025-09-10T09:17:00Z</cp:lastPrinted>
  <dcterms:created xsi:type="dcterms:W3CDTF">2025-09-10T07:04:00Z</dcterms:created>
  <dcterms:modified xsi:type="dcterms:W3CDTF">2025-09-10T09:37:00Z</dcterms:modified>
</cp:coreProperties>
</file>